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>
      <w:pPr>
        <w:autoSpaceDE w:val="0"/>
        <w:autoSpaceDN w:val="0"/>
        <w:spacing w:after="60"/>
      </w:pPr>
      <w:r>
        <w:rPr>
          <w:rFonts w:ascii="맑은 고딕" w:hAnsi="맑은 고딕" w:eastAsia="맑은 고딕" w:cs="맑은 고딕"/>
          <w:b/>
          <w:color w:val="000000"/>
          <w:sz w:val="30"/>
        </w:rPr>
        <w:t>‘오염토양’은 폐기물관리법상 폐기물이 아닙니다</w:t>
      </w:r>
    </w:p>
    <w:p>
      <w:pPr>
        <w:pStyle w:val="law1"/>
        <w:autoSpaceDE w:val="0"/>
        <w:autoSpaceDN w:val="0"/>
        <w:spacing w:after="160"/>
      </w:pPr>
      <w:r>
        <w:rPr>
          <w:rFonts w:ascii="맑은 고딕" w:hAnsi="맑은 고딕" w:eastAsia="맑은 고딕" w:cs="맑은 고딕"/>
          <w:color w:val="000000"/>
        </w:rPr>
        <w:t>대법원 2008도2907 (2011.05.26 선고)</w:t>
      </w:r>
    </w:p>
    <w:p>
      <w:pPr>
        <w:autoSpaceDE w:val="0"/>
        <w:autoSpaceDN w:val="0"/>
        <w:spacing w:after="120"/>
      </w:pPr>
      <w:r>
        <w:rPr>
          <w:rFonts w:ascii="맑은 고딕" w:hAnsi="맑은 고딕" w:eastAsia="맑은 고딕" w:cs="맑은 고딕"/>
          <w:color w:val="000000"/>
        </w:rPr>
        <w:t>○ 오염된 토양이 폐기물관리법의 규율 대상인 ‘폐기물’에 해당하는지가 문제된 사건입니다. 대법원은 오염토양은 폐기물이 아니며 별도의 정화 대상일 뿐이라고 보았습니다.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9026"/>
      </w:tblGrid>
      <w:tr>
        <w:tc>
          <w:tcPr>
            <w:tcW w:type="pct" w:w="5000"/>
            <w:shd w:val="clear" w:color="auto" w:fill="D9D9D9"/>
            <w:tcBorders>
              <w:bottom w:val="double" w:sz="6" w:space="0" w:color="808080"/>
            </w:tcBorders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21"/>
              </w:rPr>
              <w:t>※ 간단요약</w:t>
            </w:r>
          </w:p>
        </w:tc>
      </w:tr>
      <w:tr>
        <w:tc>
          <w:tcPr>
            <w:tcW w:type="pct" w:w="5000"/>
            <w:shd w:val="clear" w:color="auto" w:fill="F7F7F7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Q. 오염된 토양도 폐기물관리법상 ‘폐기물’에 해당하나요?</w:t>
            </w:r>
          </w:p>
          <w:p>
            <w:pPr>
              <w:autoSpaceDE w:val="0"/>
              <w:autoSpaceDN w:val="0"/>
            </w:pPr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A. 아니요. 토양은 오염될 수 있는 대상일 뿐이고, 오염토양은 정화 대상이 될 뿐 폐기물에 해당하지 않습니다.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1. 사건 개요</w:t>
      </w:r>
    </w:p>
    <w:tbl>
      <w:tblPr>
        <w:tblW w:type="pct" w:w="5000"/>
        <w:tblLook w:firstColumn="1" w:firstRow="1" w:lastColumn="0" w:lastRow="0" w:noHBand="0" w:noVBand="1" w:val="04A0"/>
        <w:tblBorders>
          <w:top w:val="single" w:sz="14" w:space="0" w:color="808080"/>
          <w:left w:val="single" w:sz="14" w:space="0" w:color="808080"/>
          <w:bottom w:val="single" w:sz="14" w:space="0" w:color="808080"/>
          <w:right w:val="single" w:sz="14" w:space="0" w:color="808080"/>
          <w:insideH w:val="single" w:sz="4" w:space="0" w:color="B7B7B7"/>
          <w:insideV w:val="single" w:sz="4" w:space="0" w:color="B7B7B7"/>
        </w:tblBorders>
      </w:tblPr>
      <w:tblGrid>
        <w:gridCol w:w="4513"/>
        <w:gridCol w:w="4513"/>
      </w:tblGrid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사건번호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2008도2907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선고일자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2011.05.26</w:t>
            </w:r>
          </w:p>
        </w:tc>
      </w:tr>
      <w:tr>
        <w:tc>
          <w:tcPr>
            <w:tcW w:type="pct" w:w="1200"/>
            <w:shd w:val="clear" w:color="auto" w:fill="F2F2F2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/>
                <w:color w:val="000000"/>
                <w:sz w:val="19"/>
              </w:rPr>
              <w:t>법원</w:t>
            </w:r>
          </w:p>
        </w:tc>
        <w:tc>
          <w:tcPr>
            <w:tcW w:type="pct" w:w="3800"/>
          </w:tcPr>
          <w:p>
            <w:pPr>
              <w:autoSpaceDE w:val="0"/>
              <w:autoSpaceDN w:val="0"/>
            </w:pPr>
            <w:r/>
            <w:r>
              <w:rPr>
                <w:rFonts w:ascii="맑은 고딕" w:hAnsi="맑은 고딕" w:eastAsia="맑은 고딕" w:cs="맑은 고딕"/>
                <w:b w:val="0"/>
                <w:color w:val="000000"/>
                <w:sz w:val="19"/>
              </w:rPr>
              <w:t>대법원</w:t>
            </w:r>
          </w:p>
        </w:tc>
      </w:tr>
    </w:tbl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2. 사실관계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이 사건 공소사실을 모두 유죄로 인정하였으니, 원심판결에는 오염토양에 대한 적용 법률을 오해함으로써 판결에 영향을 미친 위법이 있다.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3. 쟁점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‘오염토양’이 구 폐기물관리법의 규율 대상인 ‘폐기물’에 해당하는지 여부(소극)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피고인들이 오염된 토사를 처리하면서 구 폐기물관리법에서 정한 폐기물 처리절차를 위반하였다는 내용으로 기소된 사안에서, ‘오염토양’에 해당하는 토지가 구 폐기물관리법에 따른 처리 대상이 된다는 이유로 위 공소사실을 유죄로 인정한 원심판단에 적용 법률을 오해한 위법이 있다고 한 사례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4. 판단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판단한다.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구 폐기물관리법(2007. 4. 11. 법률 제8371호로 전부 개정되기 전의 것, 이하 같다)은 폐기물의 발생을 최대한 억제하고 발생한 폐기물을 적정 처리함을 목적으로 하는 법률로서(제1조), 위 법 제2조 제1호에 의하면 "폐기물"은 쓰레기·연소재·오니·폐유·폐산·폐알카리·동물의 사체 등으로서 사람의 생활이나 사업 활동에 필요하지 아니하게 된 물질을 의미한다. 그리고 구 폐기물관리법 제2조 제2호, 제3호, 제4호 및 제4호의2에 의하면 폐기물은 다시 생활폐기물, 사업장폐기물, 사업장폐기물 중 대통령령 소정의 지정폐기물 및 기타 의료폐기물 등으로 나누어지는데, 구 폐기물관리법 시행령 제3조 및 [별표 1]에 의하면 지정폐기물은 폐합성고분자화합물 등 특정시설에서 발생되는 폐기물, 폐산과 폐알칼리 등 부식성폐기물, 광재, 분진, 폐주물사 및 샌드블라스트 폐사, 폐흡착제 및 폐흡수제(광물유·동물유 및 식물유의 정제에 사용된 폐토사 포함) 등 유해물질함유 폐기물, 폐유기용제, 폐페인트 및 폐락카, 폐유, 폐석면, 폴리클로리네이티드비페닐(PCBs) 함유 폐기물, 폐유독물, 감염성폐기물 기타 주변 환경을 오염시킬 수 있는 유해한 물질로서 환경부장관이 고시하는 물질 등으로 규정되어 있다. 그러나 구 폐기물관리법은 물론 그 밖에 건설폐기물의 재활용촉진에 관한 법률과 그 각 시행령에서도 특정 공사나 작업에 사용된 토사만을 폐기물로 규정하고 있을 뿐, 자연 상태의 토양 자체를 구성하는 토사를 폐기물로 규정하고 있지는 아니하다.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한편 토양환경보전법은 토양생태계의 보전을 위하여 오염된 토양을 정화하는 등 토양을 적정하게 관리·보전함을 목적으로 하는 법률로서(제1조), 위 법 제2조 제2호에 의하면 "토양오염물질"은 토양오염의 원인이 되는 ‘물질’로서 환경부령이 정하는 것을 의미하고, 위 법 제4조의2와 같은 법 제11조 제3항을 종합하면 "오염토양"은 토양오염물질이 축적되어 사람의 건강·재산, 동·식물의 생육에 지장을 주는 토양이라고 정의할 수 있다. 그리고 토양환경보전법 제14조, 제15조, 제15조의2 내지 제15조의6 및 그 벌칙 규정에 의하면 오염토양에 대해서는 법령상 절차에 따른 정화가 시행되어야 하고 오염토양을 버리거나 누출·유출하는 행위는 금지된다.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위 각 법령의 규정을 종합하면, 토양은 폐기물 기타 오염물질에 의하여 오염될 수 있는 대상일 뿐 오염토양이라 하여 동산으로서 ‘물질’인 폐기물에 해당한다고 할 수 없고, 나아가 오염토양은 법령상 절차에 따른 정화의 대상이 될 뿐 법령상 금지되거나 그와 배치되는 개념인 투기나 폐기의 대상이 된다고 할 수는 없다.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따라서 오염토양 자체의 규율에 관하여는 ‘사람의 생활이나 사업 활동에 필요하지 아니하게 된 물질’의 처리를 목적으로 하는 구 폐기물관리법에서 그 처리를 위한 별도의 근거 규정을 두고 있지 아니한 이상 구 폐기물관리법의 규정은 성질상 적용될 수 없다 할 것이고, 이는 오염토양이 구 폐기물관리법상의 폐기물이나 그 구성요소인 오염물질과 섞인 상태로 되어 있다거나 그 부분 오염토양이 정화작업 등의 목적으로 해당 부지에서 반출되어 동산인 ‘물질’로서의 상태를 일시 갖추게 되었다 하더라도 마찬가지라 할 것이다.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그럼에도 원심은 오염토양이 구 폐기물관리법의 규율 대상인 폐기물로 처리될 수 있음을 전제로, 구 폐기물관리법상 지정폐기물을 구성하는 오염물질인 폴리클로리네이티드비페닐(PCBs)이 법정기준치 이상 함유되어 있어 오염토양에 해당하는 이 사건 토지가 구 폐기물관리법에 의한 처리의 대상이 된다고 한 다음, 피고인들이 이 사건 토지의 오염된 토사를 처리함에 있어 구 폐기물관리법이 규정한 폐기물 처리절차를 위반하였음을 이유로 하는 이 사건 공소사실을 모두 유죄로 인정하였으니, 원심판결에는 오염토양에 대한 적용 법률을 오해함으로써 판결에 영향을 미친 위법이 있다.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그러므로 상고이유에 대하여 나아가 살펴볼 필요 없이 원심판결을 파기하고, 사건을 다시 심리·판단하게 하기 위하여 원심법원에 환송하기로 하여 관여 대법관의 일치된 의견으로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5. 판결요지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구 폐기물관리법(2007. 4. 11. 법률 제8371호로 전부 개정되기 전의 것, 이하 ‘구 폐기물관리법’이라 한다)과 구 폐기물관리법 시행령(2007. 9. 6. 대통령령 제20244호로 전부 개정되기 전의 것), 건설폐기물의 재활용촉진에 관한 법률과 그 시행령 및 토양환경보전법의 각 규정을 종합하면, 토양은 폐기물 기타 오염물질에 의하여 오염될 수 있는 대상일 뿐 오염토양이라 하여 동산으로서 ‘물질’인 폐기물에 해당한다고 할 수 없고, 나아가 오염토양은 법령상 절차에 따른 정화 대상이 될 뿐 법령상 금지되거나 그와 배치되는 개념인 투기나 폐기 대상이 된다고 할 수 없다. 따라서 오염토양 자체의 규율에 관하여는 ‘사람의 생활이나 사업 활동에 필요하지 아니하게 된 물질’의 처리를 목적으로 하는 구 폐기물관리법에서 처리를 위한 별도의 근거 규정을 두고 있지 아니한 이상 구 폐기물관리법의 규정은 성질상 적용될 수 없고, 이는 오염토양이 구 폐기물관리법상의 폐기물이나 구성요소인 오염물질과 섞인 상태로 되어 있다거나 그 부분 오염토양이 정화작업 등의 목적으로 해당 부지에서 반출되어 동산인 ‘물질’의 상태를 일시 갖추게 되었더라도 마찬가지이다.</w:t>
      </w:r>
      <w:r>
        <w:rPr>
          <w:rFonts w:ascii="맑은 고딕" w:hAnsi="맑은 고딕" w:eastAsia="맑은 고딕" w:cs="맑은 고딕"/>
          <w:color w:val="000000"/>
        </w:rPr>
        <w:br/>
      </w:r>
      <w:r>
        <w:rPr>
          <w:rFonts w:ascii="맑은 고딕" w:hAnsi="맑은 고딕" w:eastAsia="맑은 고딕" w:cs="맑은 고딕"/>
          <w:color w:val="000000"/>
        </w:rPr>
        <w:t>[2] 피고인들이 택지개발지구에 있는 오염된 토사를 처리하면서 구 폐기물관리법(2007. 4. 11. 법률 제8371호로 전부 개정되기 전의 것, 이하 ‘구 폐기물관리법’이라 한다)에서 정한 폐기물 처리절차를 위반하였다는 내용으로 기소된 사안에서, ‘오염토양’이 구 폐기물관리법의 규율 대상인 폐기물로 처리될 수 있는 것을 전제로, 구 폐기물관리법상 지정폐기물에 해당하는 오염물질이 법정기준치 이상 함유되어 있어 오염토양에 해당하는 위 토지가 구 폐기물관리법에 따른 처리 대상이 된다는 이유로 위 공소사실을 유죄로 인정한 원심판단에 적용 법률을 오해한 위법이 있다고 한 사례.</w:t>
      </w:r>
    </w:p>
    <w:p>
      <w:pPr>
        <w:autoSpaceDE w:val="0"/>
        <w:autoSpaceDN w:val="0"/>
      </w:pPr>
    </w:p>
    <w:p>
      <w:pPr>
        <w:autoSpaceDE w:val="0"/>
        <w:autoSpaceDN w:val="0"/>
      </w:pPr>
    </w:p>
    <w:p>
      <w:pPr>
        <w:pStyle w:val="2"/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</w:rPr>
        <w:t>6. 참조 조문</w:t>
      </w:r>
    </w:p>
    <w:p>
      <w:pPr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[1] 구 폐기물관리법(2007. 4. 11. 법률 제8371호로 전부 개정되기 전의 것) 제1조, 제2조 제1호, 제2호, 제3호, 제4호, 제4호의2(현행 제2조 제5호 참조), 구 폐기물관리법 시행령(2007. 9. 6. 대통령령 제20244호로 전부 개정되기 전의 것) 제3조, [별표 1], 토양환경보전법 제1조, 제2조 제2호, 제4조의2, 제11조 제3항, 제14조, 제15조, 제15조의2, 제15조의3, 제15조의4, 제15조의5, 제15조의6 / [2] 구 폐기물관리법(2007. 4. 11. 법률 제8371호로 전부 개정되기 전의 것) 제2조 제1호, 제25조 제1항(현행 제18조 제1항 참조), 제26조 제3항(현행 제25조 제3항 참조), 제59조 제1호(현행 제64조 제1호 참조), 제60조 제2호(현행 제65조 제2호 참조), 제62조(현행 제67조 참조)</w:t>
      </w:r>
    </w:p>
    <w:p>
      <w:pPr>
        <w:pStyle w:val="note"/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</w:rPr>
        <w:t>※ 본 정리는 국가법령정보센터 판례를 정리한 참고자료이며, 구체적 사안은 판결 원문과 전문가 검토가 필요합니다.</w:t>
      </w:r>
    </w:p>
    <w:p>
      <w:pPr>
        <w:autoSpaceDE w:val="0"/>
        <w:autoSpaceDN w:val="0"/>
        <w:spacing w:before="120"/>
      </w:pPr>
      <w:r>
        <w:rPr>
          <w:rFonts w:ascii="맑은 고딕" w:hAnsi="맑은 고딕" w:eastAsia="맑은 고딕" w:cs="맑은 고딕"/>
          <w:color w:val="000000"/>
          <w:sz w:val="18"/>
        </w:rPr>
        <w:t>원문  https://www.law.go.kr/판례/(2008도2907)</w:t>
      </w:r>
    </w:p>
    <w:p>
      <w:pPr>
        <w:autoSpaceDE w:val="0"/>
        <w:autoSpaceDN w:val="0"/>
        <w:spacing w:before="80"/>
      </w:pPr>
      <w:r>
        <w:rPr>
          <w:rFonts w:ascii="맑은 고딕" w:hAnsi="맑은 고딕" w:eastAsia="맑은 고딕" w:cs="맑은 고딕"/>
          <w:color w:val="000000"/>
          <w:sz w:val="18"/>
        </w:rPr>
        <w:t>태그  #폐기물관리법판례 #형사판례 #대법원판례 #2011년판례 #2008도2907 #환경법 #환경인허가 #인허가서대리 #서대리</w:t>
      </w:r>
    </w:p>
    <w:p>
      <w:pPr>
        <w:pStyle w:val="mark"/>
        <w:autoSpaceDE w:val="0"/>
        <w:autoSpaceDN w:val="0"/>
      </w:pPr>
      <w:r>
        <w:rPr>
          <w:rFonts w:ascii="맑은 고딕" w:hAnsi="맑은 고딕" w:eastAsia="맑은 고딕" w:cs="맑은 고딕"/>
          <w:color w:val="000000"/>
        </w:rPr>
        <w:t>인허가 서대리  https://seodaeri.com/</w:t>
      </w:r>
    </w:p>
    <w:sectPr w:rsidR="00B27BF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25019F" w14:textId="77777777" w:rsidR="00B27BFC" w:rsidRDefault="00B27BFC" w:rsidP="00F52617">
      <w:r>
        <w:separator/>
      </w:r>
    </w:p>
  </w:endnote>
  <w:endnote w:type="continuationSeparator" w:id="0">
    <w:p w14:paraId="7974C6BA" w14:textId="77777777" w:rsidR="00B27BFC" w:rsidRDefault="00B27BFC" w:rsidP="00F5261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CAD215" w14:textId="77777777" w:rsidR="00B27BFC" w:rsidRDefault="00B27BFC" w:rsidP="00F52617">
      <w:r>
        <w:separator/>
      </w:r>
    </w:p>
  </w:footnote>
  <w:footnote w:type="continuationSeparator" w:id="0">
    <w:p w14:paraId="7300C114" w14:textId="77777777" w:rsidR="00B27BFC" w:rsidRDefault="00B27BFC" w:rsidP="00F5261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EB13F6"/>
    <w:multiLevelType w:val="multilevel"/>
    <w:tmpl w:val="EF2AA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D8A3F22"/>
    <w:multiLevelType w:val="multilevel"/>
    <w:tmpl w:val="801ADF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AF3513"/>
    <w:multiLevelType w:val="multilevel"/>
    <w:tmpl w:val="A90A5B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B35387B"/>
    <w:multiLevelType w:val="multilevel"/>
    <w:tmpl w:val="0E32E4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02799665">
    <w:abstractNumId w:val="2"/>
  </w:num>
  <w:num w:numId="2" w16cid:durableId="1051461951">
    <w:abstractNumId w:val="0"/>
  </w:num>
  <w:num w:numId="3" w16cid:durableId="1212620573">
    <w:abstractNumId w:val="3"/>
  </w:num>
  <w:num w:numId="4" w16cid:durableId="62740037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2617"/>
    <w:rsid w:val="00A42A17"/>
    <w:rsid w:val="00B27BFC"/>
    <w:rsid w:val="00F526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DF796CA"/>
  <w15:chartTrackingRefBased/>
  <w15:docId w15:val="{AB8F6F78-766D-4920-A396-8027FE2C1B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Char"/>
    <w:uiPriority w:val="9"/>
    <w:qFormat/>
    <w:pPr>
      <w:spacing w:before="450" w:after="150"/>
      <w:outlineLvl w:val="1"/>
    </w:pPr>
    <w:rPr>
      <w:b/>
      <w:bCs/>
      <w:sz w:val="23"/>
      <w:szCs w:val="23"/>
    </w:rPr>
  </w:style>
  <w:style w:type="paragraph" w:styleId="3">
    <w:name w:val="heading 3"/>
    <w:basedOn w:val="a"/>
    <w:link w:val="3Char"/>
    <w:uiPriority w:val="9"/>
    <w:qFormat/>
    <w:pPr>
      <w:spacing w:before="165" w:after="75"/>
      <w:outlineLvl w:val="2"/>
    </w:pPr>
    <w:rPr>
      <w:b/>
      <w:bCs/>
      <w:sz w:val="20"/>
      <w:szCs w:val="20"/>
    </w:rPr>
  </w:style>
  <w:style w:type="paragraph" w:styleId="4">
    <w:name w:val="heading 4"/>
    <w:basedOn w:val="a"/>
    <w:link w:val="4Char"/>
    <w:uiPriority w:val="9"/>
    <w:qFormat/>
    <w:pPr>
      <w:spacing w:before="210" w:after="75"/>
      <w:outlineLvl w:val="3"/>
    </w:pPr>
    <w:rPr>
      <w:b/>
      <w:bCs/>
      <w:sz w:val="19"/>
      <w:szCs w:val="19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a3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customStyle="1" w:styleId="page">
    <w:name w:val="page"/>
    <w:basedOn w:val="a"/>
    <w:pPr>
      <w:shd w:val="clear" w:color="auto" w:fill="FFFFFF"/>
    </w:pPr>
  </w:style>
  <w:style w:type="paragraph" w:customStyle="1" w:styleId="toolbar">
    <w:name w:val="toolbar"/>
    <w:basedOn w:val="a"/>
    <w:pPr>
      <w:jc w:val="right"/>
    </w:pPr>
    <w:rPr>
      <w:vanish/>
    </w:rPr>
  </w:style>
  <w:style w:type="paragraph" w:customStyle="1" w:styleId="btn">
    <w:name w:val="btn"/>
    <w:basedOn w:val="a"/>
    <w:pPr>
      <w:pBdr>
        <w:top w:val="single" w:sz="6" w:space="4" w:color="999999"/>
        <w:left w:val="single" w:sz="6" w:space="11" w:color="999999"/>
        <w:bottom w:val="single" w:sz="6" w:space="4" w:color="999999"/>
        <w:right w:val="single" w:sz="6" w:space="11" w:color="999999"/>
      </w:pBdr>
      <w:shd w:val="clear" w:color="auto" w:fill="FFFFFF"/>
      <w:spacing w:before="100" w:beforeAutospacing="1" w:after="100" w:afterAutospacing="1"/>
    </w:pPr>
    <w:rPr>
      <w:color w:val="333333"/>
      <w:sz w:val="18"/>
      <w:szCs w:val="18"/>
    </w:rPr>
  </w:style>
  <w:style w:type="paragraph" w:customStyle="1" w:styleId="doc-head">
    <w:name w:val="doc-head"/>
    <w:basedOn w:val="a"/>
    <w:pPr>
      <w:spacing w:before="100" w:beforeAutospacing="1" w:after="270"/>
      <w:jc w:val="center"/>
    </w:pPr>
  </w:style>
  <w:style w:type="paragraph" w:customStyle="1" w:styleId="bt">
    <w:name w:val="bt"/>
    <w:basedOn w:val="a"/>
    <w:pPr>
      <w:spacing w:before="75" w:after="45"/>
    </w:pPr>
    <w:rPr>
      <w:sz w:val="19"/>
      <w:szCs w:val="19"/>
    </w:rPr>
  </w:style>
  <w:style w:type="paragraph" w:customStyle="1" w:styleId="law-box">
    <w:name w:val="law-box"/>
    <w:basedOn w:val="a"/>
    <w:pPr>
      <w:shd w:val="clear" w:color="auto" w:fill="FBFBFB"/>
      <w:spacing w:before="120" w:after="60"/>
    </w:pPr>
  </w:style>
  <w:style w:type="paragraph" w:customStyle="1" w:styleId="note">
    <w:name w:val="note"/>
    <w:basedOn w:val="a"/>
    <w:pPr>
      <w:spacing w:before="105"/>
      <w:ind w:hanging="225"/>
    </w:pPr>
    <w:rPr>
      <w:b/>
      <w:bCs/>
      <w:sz w:val="19"/>
      <w:szCs w:val="19"/>
    </w:rPr>
  </w:style>
  <w:style w:type="paragraph" w:customStyle="1" w:styleId="src">
    <w:name w:val="src"/>
    <w:basedOn w:val="a"/>
    <w:pPr>
      <w:spacing w:before="90"/>
    </w:pPr>
    <w:rPr>
      <w:sz w:val="17"/>
      <w:szCs w:val="17"/>
    </w:rPr>
  </w:style>
  <w:style w:type="paragraph" w:customStyle="1" w:styleId="mark">
    <w:name w:val="mark"/>
    <w:basedOn w:val="a"/>
    <w:pPr>
      <w:spacing w:before="90"/>
      <w:jc w:val="right"/>
    </w:pPr>
    <w:rPr>
      <w:b/>
      <w:bCs/>
      <w:color w:val="9A9A9A"/>
      <w:spacing w:val="3"/>
      <w:sz w:val="17"/>
      <w:szCs w:val="17"/>
    </w:rPr>
  </w:style>
  <w:style w:type="paragraph" w:customStyle="1" w:styleId="runfoot">
    <w:name w:val="runfoot"/>
    <w:basedOn w:val="a"/>
    <w:pPr>
      <w:spacing w:before="240" w:after="100" w:afterAutospacing="1"/>
    </w:pPr>
    <w:rPr>
      <w:b/>
      <w:bCs/>
      <w:color w:val="666666"/>
      <w:sz w:val="17"/>
      <w:szCs w:val="17"/>
    </w:rPr>
  </w:style>
  <w:style w:type="paragraph" w:customStyle="1" w:styleId="sm">
    <w:name w:val="sm"/>
    <w:basedOn w:val="a"/>
    <w:pPr>
      <w:spacing w:before="100" w:beforeAutospacing="1" w:after="100" w:afterAutospacing="1"/>
    </w:pPr>
  </w:style>
  <w:style w:type="paragraph" w:customStyle="1" w:styleId="law">
    <w:name w:val="law"/>
    <w:basedOn w:val="a"/>
    <w:pPr>
      <w:spacing w:before="100" w:beforeAutospacing="1" w:after="100" w:afterAutospacing="1"/>
    </w:pPr>
  </w:style>
  <w:style w:type="paragraph" w:customStyle="1" w:styleId="rule">
    <w:name w:val="rule"/>
    <w:basedOn w:val="a"/>
    <w:pPr>
      <w:spacing w:before="100" w:beforeAutospacing="1" w:after="100" w:afterAutospacing="1"/>
    </w:pPr>
  </w:style>
  <w:style w:type="paragraph" w:customStyle="1" w:styleId="sep">
    <w:name w:val="sep"/>
    <w:basedOn w:val="a"/>
    <w:pPr>
      <w:spacing w:before="100" w:beforeAutospacing="1" w:after="100" w:afterAutospacing="1"/>
    </w:pPr>
  </w:style>
  <w:style w:type="paragraph" w:customStyle="1" w:styleId="grp">
    <w:name w:val="grp"/>
    <w:basedOn w:val="a"/>
    <w:pPr>
      <w:spacing w:before="100" w:beforeAutospacing="1" w:after="100" w:afterAutospacing="1"/>
    </w:pPr>
  </w:style>
  <w:style w:type="paragraph" w:customStyle="1" w:styleId="v">
    <w:name w:val="v"/>
    <w:basedOn w:val="a"/>
    <w:pPr>
      <w:spacing w:before="100" w:beforeAutospacing="1" w:after="100" w:afterAutospacing="1"/>
    </w:pPr>
  </w:style>
  <w:style w:type="paragraph" w:customStyle="1" w:styleId="ctr">
    <w:name w:val="ctr"/>
    <w:basedOn w:val="a"/>
    <w:pPr>
      <w:spacing w:before="100" w:beforeAutospacing="1" w:after="100" w:afterAutospacing="1"/>
    </w:pPr>
  </w:style>
  <w:style w:type="paragraph" w:customStyle="1" w:styleId="key">
    <w:name w:val="key"/>
    <w:basedOn w:val="a"/>
    <w:pPr>
      <w:spacing w:before="100" w:beforeAutospacing="1" w:after="100" w:afterAutospacing="1"/>
    </w:pPr>
  </w:style>
  <w:style w:type="paragraph" w:customStyle="1" w:styleId="lw">
    <w:name w:val="lw"/>
    <w:basedOn w:val="a"/>
    <w:pPr>
      <w:spacing w:before="100" w:beforeAutospacing="1" w:after="100" w:afterAutospacing="1"/>
    </w:pPr>
  </w:style>
  <w:style w:type="paragraph" w:customStyle="1" w:styleId="na">
    <w:name w:val="na"/>
    <w:basedOn w:val="a"/>
    <w:pPr>
      <w:spacing w:before="100" w:beforeAutospacing="1" w:after="100" w:afterAutospacing="1"/>
    </w:pPr>
  </w:style>
  <w:style w:type="paragraph" w:customStyle="1" w:styleId="cite">
    <w:name w:val="cite"/>
    <w:basedOn w:val="a"/>
    <w:pPr>
      <w:spacing w:before="100" w:beforeAutospacing="1" w:after="100" w:afterAutospacing="1"/>
    </w:pPr>
  </w:style>
  <w:style w:type="paragraph" w:customStyle="1" w:styleId="body">
    <w:name w:val="body"/>
    <w:basedOn w:val="a"/>
    <w:pPr>
      <w:spacing w:before="100" w:beforeAutospacing="1" w:after="100" w:afterAutospacing="1"/>
    </w:pPr>
  </w:style>
  <w:style w:type="paragraph" w:customStyle="1" w:styleId="u">
    <w:name w:val="u"/>
    <w:basedOn w:val="a"/>
    <w:pPr>
      <w:spacing w:before="100" w:beforeAutospacing="1" w:after="100" w:afterAutospacing="1"/>
    </w:pPr>
  </w:style>
  <w:style w:type="paragraph" w:customStyle="1" w:styleId="brand">
    <w:name w:val="brand"/>
    <w:basedOn w:val="a"/>
    <w:pPr>
      <w:spacing w:before="100" w:beforeAutospacing="1" w:after="100" w:afterAutospacing="1"/>
    </w:pPr>
  </w:style>
  <w:style w:type="paragraph" w:customStyle="1" w:styleId="url">
    <w:name w:val="url"/>
    <w:basedOn w:val="a"/>
    <w:pPr>
      <w:spacing w:before="100" w:beforeAutospacing="1" w:after="100" w:afterAutospacing="1"/>
    </w:pPr>
  </w:style>
  <w:style w:type="paragraph" w:customStyle="1" w:styleId="ho">
    <w:name w:val="ho"/>
    <w:basedOn w:val="a"/>
    <w:pPr>
      <w:spacing w:before="100" w:beforeAutospacing="1" w:after="100" w:afterAutospacing="1"/>
    </w:pPr>
  </w:style>
  <w:style w:type="paragraph" w:customStyle="1" w:styleId="mok">
    <w:name w:val="mok"/>
    <w:basedOn w:val="a"/>
    <w:pPr>
      <w:spacing w:before="100" w:beforeAutospacing="1" w:after="100" w:afterAutospacing="1"/>
    </w:pPr>
  </w:style>
  <w:style w:type="paragraph" w:customStyle="1" w:styleId="amend">
    <w:name w:val="amend"/>
    <w:basedOn w:val="a"/>
    <w:pPr>
      <w:spacing w:before="100" w:beforeAutospacing="1" w:after="100" w:afterAutospacing="1"/>
    </w:pPr>
  </w:style>
  <w:style w:type="paragraph" w:customStyle="1" w:styleId="bigo-t">
    <w:name w:val="bigo-t"/>
    <w:basedOn w:val="a"/>
    <w:pPr>
      <w:spacing w:before="100" w:beforeAutospacing="1" w:after="100" w:afterAutospacing="1"/>
    </w:pPr>
  </w:style>
  <w:style w:type="paragraph" w:customStyle="1" w:styleId="eq">
    <w:name w:val="eq"/>
    <w:basedOn w:val="a"/>
    <w:pPr>
      <w:spacing w:before="100" w:beforeAutospacing="1" w:after="100" w:afterAutospacing="1"/>
    </w:pPr>
  </w:style>
  <w:style w:type="paragraph" w:customStyle="1" w:styleId="law1">
    <w:name w:val="law1"/>
    <w:basedOn w:val="a"/>
    <w:pPr>
      <w:spacing w:after="180"/>
    </w:pPr>
    <w:rPr>
      <w:sz w:val="19"/>
      <w:szCs w:val="19"/>
    </w:rPr>
  </w:style>
  <w:style w:type="paragraph" w:customStyle="1" w:styleId="rule1">
    <w:name w:val="rule1"/>
    <w:basedOn w:val="a"/>
  </w:style>
  <w:style w:type="paragraph" w:customStyle="1" w:styleId="sm1">
    <w:name w:val="sm1"/>
    <w:basedOn w:val="a"/>
    <w:pPr>
      <w:spacing w:before="100" w:beforeAutospacing="1" w:after="100" w:afterAutospacing="1"/>
      <w:ind w:left="90"/>
    </w:pPr>
    <w:rPr>
      <w:sz w:val="17"/>
      <w:szCs w:val="17"/>
    </w:rPr>
  </w:style>
  <w:style w:type="paragraph" w:customStyle="1" w:styleId="sep1">
    <w:name w:val="sep1"/>
    <w:basedOn w:val="a"/>
    <w:pPr>
      <w:pBdr>
        <w:left w:val="single" w:sz="6" w:space="0" w:color="E0E0E0"/>
      </w:pBdr>
      <w:spacing w:before="100" w:beforeAutospacing="1" w:after="100" w:afterAutospacing="1"/>
    </w:pPr>
  </w:style>
  <w:style w:type="paragraph" w:customStyle="1" w:styleId="grp1">
    <w:name w:val="grp1"/>
    <w:basedOn w:val="a"/>
    <w:pPr>
      <w:shd w:val="clear" w:color="auto" w:fill="F5F5F5"/>
      <w:spacing w:before="100" w:beforeAutospacing="1" w:after="100" w:afterAutospacing="1"/>
      <w:jc w:val="center"/>
      <w:textAlignment w:val="center"/>
    </w:pPr>
    <w:rPr>
      <w:b/>
      <w:bCs/>
    </w:rPr>
  </w:style>
  <w:style w:type="paragraph" w:customStyle="1" w:styleId="v1">
    <w:name w:val="v1"/>
    <w:basedOn w:val="a"/>
    <w:pPr>
      <w:spacing w:before="100" w:beforeAutospacing="1" w:after="100" w:afterAutospacing="1"/>
      <w:textAlignment w:val="center"/>
    </w:pPr>
  </w:style>
  <w:style w:type="paragraph" w:customStyle="1" w:styleId="ctr1">
    <w:name w:val="ctr1"/>
    <w:basedOn w:val="a"/>
    <w:pPr>
      <w:spacing w:before="100" w:beforeAutospacing="1" w:after="100" w:afterAutospacing="1"/>
      <w:jc w:val="center"/>
    </w:pPr>
  </w:style>
  <w:style w:type="paragraph" w:customStyle="1" w:styleId="key1">
    <w:name w:val="key1"/>
    <w:basedOn w:val="a"/>
    <w:pPr>
      <w:spacing w:before="100" w:beforeAutospacing="1" w:after="100" w:afterAutospacing="1"/>
    </w:pPr>
    <w:rPr>
      <w:b/>
      <w:bCs/>
    </w:rPr>
  </w:style>
  <w:style w:type="paragraph" w:customStyle="1" w:styleId="lw1">
    <w:name w:val="lw1"/>
    <w:basedOn w:val="a"/>
    <w:pPr>
      <w:spacing w:before="100" w:beforeAutospacing="1" w:after="100" w:afterAutospacing="1"/>
      <w:ind w:left="60"/>
    </w:pPr>
    <w:rPr>
      <w:sz w:val="17"/>
      <w:szCs w:val="17"/>
    </w:rPr>
  </w:style>
  <w:style w:type="paragraph" w:customStyle="1" w:styleId="na1">
    <w:name w:val="na1"/>
    <w:basedOn w:val="a"/>
    <w:pPr>
      <w:spacing w:before="100" w:beforeAutospacing="1" w:after="100" w:afterAutospacing="1"/>
    </w:pPr>
    <w:rPr>
      <w:color w:val="8A8A8A"/>
    </w:rPr>
  </w:style>
  <w:style w:type="paragraph" w:customStyle="1" w:styleId="cite1">
    <w:name w:val="cite1"/>
    <w:basedOn w:val="a"/>
    <w:pPr>
      <w:spacing w:after="90"/>
    </w:pPr>
    <w:rPr>
      <w:b/>
      <w:bCs/>
      <w:sz w:val="17"/>
      <w:szCs w:val="17"/>
    </w:rPr>
  </w:style>
  <w:style w:type="paragraph" w:customStyle="1" w:styleId="body1">
    <w:name w:val="body1"/>
    <w:basedOn w:val="a"/>
    <w:pPr>
      <w:spacing w:before="100" w:beforeAutospacing="1" w:after="100" w:afterAutospacing="1"/>
    </w:pPr>
    <w:rPr>
      <w:color w:val="000000"/>
      <w:sz w:val="19"/>
      <w:szCs w:val="19"/>
    </w:rPr>
  </w:style>
  <w:style w:type="paragraph" w:customStyle="1" w:styleId="ho1">
    <w:name w:val="ho1"/>
    <w:basedOn w:val="a"/>
    <w:pPr>
      <w:spacing w:after="75"/>
    </w:pPr>
  </w:style>
  <w:style w:type="paragraph" w:customStyle="1" w:styleId="mok1">
    <w:name w:val="mok1"/>
    <w:basedOn w:val="a"/>
    <w:pPr>
      <w:spacing w:after="75"/>
    </w:pPr>
  </w:style>
  <w:style w:type="paragraph" w:customStyle="1" w:styleId="amend1">
    <w:name w:val="amend1"/>
    <w:basedOn w:val="a"/>
    <w:pPr>
      <w:spacing w:after="75"/>
    </w:pPr>
    <w:rPr>
      <w:sz w:val="16"/>
      <w:szCs w:val="16"/>
    </w:rPr>
  </w:style>
  <w:style w:type="paragraph" w:customStyle="1" w:styleId="bigo-t1">
    <w:name w:val="bigo-t1"/>
    <w:basedOn w:val="a"/>
    <w:pPr>
      <w:spacing w:before="120" w:after="45"/>
    </w:pPr>
    <w:rPr>
      <w:rFonts w:ascii="맑은 고딕" w:eastAsia="맑은 고딕" w:hAnsi="맑은 고딕"/>
      <w:b/>
      <w:bCs/>
      <w:sz w:val="17"/>
      <w:szCs w:val="17"/>
    </w:rPr>
  </w:style>
  <w:style w:type="paragraph" w:customStyle="1" w:styleId="eq1">
    <w:name w:val="eq1"/>
    <w:basedOn w:val="a"/>
    <w:pPr>
      <w:spacing w:before="75" w:after="75"/>
    </w:pPr>
  </w:style>
  <w:style w:type="paragraph" w:customStyle="1" w:styleId="u1">
    <w:name w:val="u1"/>
    <w:basedOn w:val="a"/>
    <w:pPr>
      <w:spacing w:before="100" w:beforeAutospacing="1" w:after="100" w:afterAutospacing="1"/>
      <w:ind w:left="60"/>
    </w:pPr>
    <w:rPr>
      <w:b/>
      <w:bCs/>
      <w:color w:val="B0B0B0"/>
    </w:rPr>
  </w:style>
  <w:style w:type="paragraph" w:customStyle="1" w:styleId="brand1">
    <w:name w:val="brand1"/>
    <w:basedOn w:val="a"/>
    <w:pPr>
      <w:spacing w:before="100" w:beforeAutospacing="1" w:after="100" w:afterAutospacing="1"/>
    </w:pPr>
    <w:rPr>
      <w:b/>
      <w:bCs/>
      <w:color w:val="555555"/>
    </w:rPr>
  </w:style>
  <w:style w:type="paragraph" w:customStyle="1" w:styleId="url1">
    <w:name w:val="url1"/>
    <w:basedOn w:val="a"/>
    <w:pPr>
      <w:spacing w:before="100" w:beforeAutospacing="1" w:after="100" w:afterAutospacing="1"/>
    </w:pPr>
    <w:rPr>
      <w:color w:val="777777"/>
    </w:rPr>
  </w:style>
  <w:style w:type="character" w:customStyle="1" w:styleId="amend2">
    <w:name w:val="amend2"/>
    <w:basedOn w:val="a0"/>
    <w:rPr>
      <w:sz w:val="16"/>
      <w:szCs w:val="16"/>
    </w:rPr>
  </w:style>
  <w:style w:type="paragraph" w:styleId="a4">
    <w:name w:val="header"/>
    <w:basedOn w:val="a"/>
    <w:link w:val="Char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  <w:rsid w:val="00F52617"/>
    <w:rPr>
      <w:rFonts w:ascii="굴림" w:eastAsia="굴림" w:hAnsi="굴림" w:cs="굴림"/>
      <w:sz w:val="24"/>
      <w:szCs w:val="24"/>
    </w:rPr>
  </w:style>
  <w:style w:type="paragraph" w:styleId="a5">
    <w:name w:val="footer"/>
    <w:basedOn w:val="a"/>
    <w:link w:val="Char0"/>
    <w:uiPriority w:val="99"/>
    <w:unhideWhenUsed/>
    <w:rsid w:val="00F52617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  <w:rsid w:val="00F52617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485738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19238">
          <w:marLeft w:val="0"/>
          <w:marRight w:val="0"/>
          <w:marTop w:val="0"/>
          <w:marBottom w:val="27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6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336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086821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2464575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49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509516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57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49496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80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3124277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822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373273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70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5339630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647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7576728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5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018404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11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461056">
          <w:marLeft w:val="0"/>
          <w:marRight w:val="0"/>
          <w:marTop w:val="120"/>
          <w:marBottom w:val="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85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9389103">
          <w:marLeft w:val="0"/>
          <w:marRight w:val="0"/>
          <w:marTop w:val="2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1344</Words>
  <Characters>7661</Characters>
  <Application>Microsoft Office Word</Application>
  <DocSecurity>4</DocSecurity>
  <Lines>63</Lines>
  <Paragraphs>17</Paragraphs>
  <ScaleCrop>false</ScaleCrop>
  <Company/>
  <LinksUpToDate>false</LinksUpToDate>
  <CharactersWithSpaces>8988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환경기술인 보유 자격기준 및 법적 근거</dc:title>
  <dc:subject/>
  <dc:creator>GWANGSIK JO</dc:creator>
  <cp:keywords/>
  <dc:description/>
  <cp:lastModifiedBy>GWANGSIK JO</cp:lastModifiedBy>
  <cp:revision>2</cp:revision>
  <dcterms:created xsi:type="dcterms:W3CDTF">2026-07-31T02:26:00Z</dcterms:created>
  <dcterms:modified xsi:type="dcterms:W3CDTF">2026-07-31T02:26:00Z</dcterms:modified>
</cp:coreProperties>
</file>