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t>1.폐기물관리법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t>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w:t>
      </w:r>
      <w:r>
        <w:rPr>
          <w:rFonts w:ascii="맑은 고딕" w:hAnsi="맑은 고딕" w:eastAsia="맑은 고딕" w:cs="맑은 고딕"/>
          <w:color w:val="000000"/>
        </w:rPr>
        <w:br/>
      </w:r>
      <w:r>
        <w:rPr>
          <w:rFonts w:ascii="맑은 고딕" w:hAnsi="맑은 고딕" w:eastAsia="맑은 고딕" w:cs="맑은 고딕"/>
          <w:color w:val="000000"/>
        </w:rPr>
        <w:t>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t>2.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t>3.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[1]폐기물관리법(2010. 7. 23. 법률 제10389호로 개정되기 전의 것) 제67조 제1항 / [2]폐기물관리법(2010. 7. 23. 법률 제10389호로 개정되기 전의 것) 제67조 제1항,형법 제1조 제1항,헌법 제10조,제12조 제1항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