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‘폐기물’을 가공하여 완제품을 생산하는 경우, 폐기물의 속성을 잃고 완제품 생산을 위한 원료물질로 되기 위한 요건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t>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w:t>
      </w:r>
      <w:r>
        <w:rPr>
          <w:rFonts w:ascii="맑은 고딕" w:hAnsi="맑은 고딕" w:eastAsia="맑은 고딕" w:cs="맑은 고딕"/>
          <w:color w:val="000000"/>
        </w:rPr>
        <w:br/>
      </w:r>
      <w:r>
        <w:rPr>
          <w:rFonts w:ascii="맑은 고딕" w:hAnsi="맑은 고딕" w:eastAsia="맑은 고딕" w:cs="맑은 고딕"/>
          <w:color w:val="000000"/>
        </w:rPr>
        <w:t>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w:t>
      </w:r>
      <w:r>
        <w:rPr>
          <w:rFonts w:ascii="맑은 고딕" w:hAnsi="맑은 고딕" w:eastAsia="맑은 고딕" w:cs="맑은 고딕"/>
          <w:color w:val="000000"/>
        </w:rPr>
        <w:br/>
      </w:r>
      <w:r>
        <w:rPr>
          <w:rFonts w:ascii="맑은 고딕" w:hAnsi="맑은 고딕" w:eastAsia="맑은 고딕" w:cs="맑은 고딕"/>
          <w:color w:val="000000"/>
        </w:rPr>
        <w:t>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대법관 김용덕(재판장) 전수안 양창수(주심) 이상훈</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[1]구 폐기물관리법(2010. 7. 23. 법률 제10389호로 개정되기 전의 것) 제2조 제1호 / [2]구 폐기물관리법(2010. 7. 23. 법률 제10389호로 개정되기 전의 것) 제2조 제1호</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