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t>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사업장폐기물 불법 매립에 의한 폐기물관리법 위반죄의 포괄일죄 여부를 판단하는 기준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판단한다.</w:t>
      </w:r>
      <w:r>
        <w:rPr>
          <w:rFonts w:ascii="맑은 고딕" w:hAnsi="맑은 고딕" w:eastAsia="맑은 고딕" w:cs="맑은 고딕"/>
          <w:color w:val="000000"/>
        </w:rPr>
        <w:br/>
      </w:r>
      <w:r>
        <w:rPr>
          <w:rFonts w:ascii="맑은 고딕" w:hAnsi="맑은 고딕" w:eastAsia="맑은 고딕" w:cs="맑은 고딕"/>
          <w:color w:val="000000"/>
        </w:rPr>
        <w:t>1. 피고인 1에 대한 상고이유에 관하여</w:t>
      </w:r>
      <w:r>
        <w:rPr>
          <w:rFonts w:ascii="맑은 고딕" w:hAnsi="맑은 고딕" w:eastAsia="맑은 고딕" w:cs="맑은 고딕"/>
          <w:color w:val="000000"/>
        </w:rPr>
        <w:br/>
      </w:r>
      <w:r>
        <w:rPr>
          <w:rFonts w:ascii="맑은 고딕" w:hAnsi="맑은 고딕" w:eastAsia="맑은 고딕" w:cs="맑은 고딕"/>
          <w:color w:val="000000"/>
        </w:rPr>
        <w:t>가.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t>나.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(1) 형사재판이 실체적으로 확정되면 동일한 범죄에 대하여 거듭 처벌할 수 없고, 확정판결이 있는 사건과 동일사건에 대하여 공소의 제기가 있는 경우에는 판결로써 면소의 선고를 하여야 한다.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t>(2)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형법 제37조, 폐기물관리법 제8조 제2항, 제63조</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