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t>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w:t>
      </w:r>
      <w:r>
        <w:rPr>
          <w:rFonts w:ascii="맑은 고딕" w:hAnsi="맑은 고딕" w:eastAsia="맑은 고딕" w:cs="맑은 고딕"/>
          <w:color w:val="000000"/>
        </w:rPr>
        <w:br/>
      </w:r>
      <w:r>
        <w:rPr>
          <w:rFonts w:ascii="맑은 고딕" w:hAnsi="맑은 고딕" w:eastAsia="맑은 고딕" w:cs="맑은 고딕"/>
          <w:color w:val="000000"/>
        </w:rPr>
        <w:t>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2. 상고이유 제2점에 관하여</w:t>
      </w:r>
      <w:r>
        <w:rPr>
          <w:rFonts w:ascii="맑은 고딕" w:hAnsi="맑은 고딕" w:eastAsia="맑은 고딕" w:cs="맑은 고딕"/>
          <w:color w:val="000000"/>
        </w:rPr>
        <w:br/>
      </w:r>
      <w:r>
        <w:rPr>
          <w:rFonts w:ascii="맑은 고딕" w:hAnsi="맑은 고딕" w:eastAsia="맑은 고딕" w:cs="맑은 고딕"/>
          <w:color w:val="000000"/>
        </w:rPr>
        <w:t>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3. 상고이유 제3점에 관하여</w:t>
      </w:r>
      <w:r>
        <w:rPr>
          <w:rFonts w:ascii="맑은 고딕" w:hAnsi="맑은 고딕" w:eastAsia="맑은 고딕" w:cs="맑은 고딕"/>
          <w:color w:val="000000"/>
        </w:rPr>
        <w:br/>
      </w:r>
      <w:r>
        <w:rPr>
          <w:rFonts w:ascii="맑은 고딕" w:hAnsi="맑은 고딕" w:eastAsia="맑은 고딕" w:cs="맑은 고딕"/>
          <w:color w:val="000000"/>
        </w:rPr>
        <w:t>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w:t>
      </w:r>
      <w:r>
        <w:rPr>
          <w:rFonts w:ascii="맑은 고딕" w:hAnsi="맑은 고딕" w:eastAsia="맑은 고딕" w:cs="맑은 고딕"/>
          <w:color w:val="000000"/>
        </w:rPr>
        <w:br/>
      </w:r>
      <w:r>
        <w:rPr>
          <w:rFonts w:ascii="맑은 고딕" w:hAnsi="맑은 고딕" w:eastAsia="맑은 고딕" w:cs="맑은 고딕"/>
          <w:color w:val="000000"/>
        </w:rPr>
        <w:t>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폐기물관리법 제25조 제2항 / [2] 폐기물관리법 제25조 제2항, 제7항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