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w:t>
      </w:r>
      <w:r>
        <w:rPr>
          <w:rFonts w:ascii="맑은 고딕" w:hAnsi="맑은 고딕" w:eastAsia="맑은 고딕" w:cs="맑은 고딕"/>
          <w:color w:val="000000"/>
        </w:rPr>
        <w:br/>
      </w:r>
      <w:r>
        <w:rPr>
          <w:rFonts w:ascii="맑은 고딕" w:hAnsi="맑은 고딕" w:eastAsia="맑은 고딕" w:cs="맑은 고딕"/>
          <w:color w:val="000000"/>
        </w:rPr>
        <w:t>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3.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 이와 같이 폐기물처리시설과 주민편익시설은 법령상 명확히 구분되어 있고, 주민편익시설은 폐기물처리시설에 당연히 포함되거나 부대되는 시설이 아니다.</w:t>
      </w:r>
      <w:r>
        <w:rPr>
          <w:rFonts w:ascii="맑은 고딕" w:hAnsi="맑은 고딕" w:eastAsia="맑은 고딕" w:cs="맑은 고딕"/>
          <w:color w:val="000000"/>
        </w:rPr>
        <w:br/>
      </w:r>
      <w:r>
        <w:rPr>
          <w:rFonts w:ascii="맑은 고딕" w:hAnsi="맑은 고딕" w:eastAsia="맑은 고딕" w:cs="맑은 고딕"/>
          <w:color w:val="000000"/>
        </w:rPr>
        <w:t>② 폐기물시설촉진법 제6조 및 시행령 제4조에 따라 사업시행자가 부담하는 의무는 폐기물처리시설의 설치 또는 그 설치비용에 해당하는 금액의 납부일 뿐이다.</w:t>
      </w:r>
      <w:r>
        <w:rPr>
          <w:rFonts w:ascii="맑은 고딕" w:hAnsi="맑은 고딕" w:eastAsia="맑은 고딕" w:cs="맑은 고딕"/>
          <w:color w:val="000000"/>
        </w:rPr>
        <w:br/>
      </w:r>
      <w:r>
        <w:rPr>
          <w:rFonts w:ascii="맑은 고딕" w:hAnsi="맑은 고딕" w:eastAsia="맑은 고딕" w:cs="맑은 고딕"/>
          <w:color w:val="000000"/>
        </w:rPr>
        <w:t>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 이와 같이 주민편익시설을 설치할 의무는 지방자치단체의 장 등에게 있고 사업시행자에게는 그 의무가 없다.</w:t>
      </w:r>
      <w:r>
        <w:rPr>
          <w:rFonts w:ascii="맑은 고딕" w:hAnsi="맑은 고딕" w:eastAsia="맑은 고딕" w:cs="맑은 고딕"/>
          <w:color w:val="000000"/>
        </w:rPr>
        <w:br/>
      </w:r>
      <w:r>
        <w:rPr>
          <w:rFonts w:ascii="맑은 고딕" w:hAnsi="맑은 고딕" w:eastAsia="맑은 고딕" w:cs="맑은 고딕"/>
          <w:color w:val="000000"/>
        </w:rPr>
        <w:t>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지방자치법 제22조, 행정규제기본법 제4조 제3항 / [2]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 / [3] 지방자치법 제22조, 행정규제기본법 제4조 제3항,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