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관리동·세차동 부지도 포함해 산정할 수 있습니다</w:t>
      </w:r>
    </w:p>
    <w:p>
      <w:pPr>
        <w:pStyle w:val="law1"/>
        <w:autoSpaceDE w:val="0"/>
        <w:autoSpaceDN w:val="0"/>
        <w:spacing w:after="160"/>
      </w:pPr>
      <w:r>
        <w:rPr>
          <w:rFonts w:ascii="맑은 고딕" w:hAnsi="맑은 고딕" w:eastAsia="맑은 고딕" w:cs="맑은 고딕"/>
          <w:color w:val="000000"/>
        </w:rPr>
        <w:t>대법원 2016두61044 (2019.07.10 선고)</w:t>
      </w:r>
    </w:p>
    <w:p>
      <w:pPr>
        <w:autoSpaceDE w:val="0"/>
        <w:autoSpaceDN w:val="0"/>
        <w:spacing w:after="120"/>
      </w:pPr>
      <w:r>
        <w:rPr>
          <w:rFonts w:ascii="맑은 고딕" w:hAnsi="맑은 고딕" w:eastAsia="맑은 고딕" w:cs="맑은 고딕"/>
          <w:color w:val="000000"/>
        </w:rPr>
        <w:t>○ 설치비용 부담금 산정 시 관리동·세차동 등 기타시설의 부지면적을 포함시킨 조례가 위임 한계를 벗어났는지가 문제된 사건입니다. 대법원은 상위법령을 구체화한 것에 불과해 무효가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관리동·세차동 등 기타시설을 포함해 설치비용을 산정한 조례가 무효인가요?</w:t>
            </w:r>
          </w:p>
          <w:p>
            <w:pPr>
              <w:autoSpaceDE w:val="0"/>
              <w:autoSpaceDN w:val="0"/>
            </w:pPr>
            <w:r>
              <w:rPr>
                <w:rFonts w:ascii="맑은 고딕" w:hAnsi="맑은 고딕" w:eastAsia="맑은 고딕" w:cs="맑은 고딕"/>
                <w:b w:val="0"/>
                <w:color w:val="000000"/>
                <w:sz w:val="19"/>
              </w:rPr>
              <w:t>A. 아니요. 상위법령을 구체화한 것에 불과하고 위임의 한계를 벗어나지 않았으므로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2. 원고의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가. 주민편익시설 설치에 필요한 면적을 가산하는 것은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(1)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w:t>
      </w:r>
      <w:r>
        <w:rPr>
          <w:rFonts w:ascii="맑은 고딕" w:hAnsi="맑은 고딕" w:eastAsia="맑은 고딕" w:cs="맑은 고딕"/>
          <w:color w:val="000000"/>
        </w:rPr>
        <w:br/>
      </w:r>
      <w:r>
        <w:rPr>
          <w:rFonts w:ascii="맑은 고딕" w:hAnsi="맑은 고딕" w:eastAsia="맑은 고딕" w:cs="맑은 고딕"/>
          <w:color w:val="000000"/>
        </w:rPr>
        <w:t>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w:t>
      </w:r>
      <w:r>
        <w:rPr>
          <w:rFonts w:ascii="맑은 고딕" w:hAnsi="맑은 고딕" w:eastAsia="맑은 고딕" w:cs="맑은 고딕"/>
          <w:color w:val="000000"/>
        </w:rPr>
        <w:br/>
      </w:r>
      <w:r>
        <w:rPr>
          <w:rFonts w:ascii="맑은 고딕" w:hAnsi="맑은 고딕" w:eastAsia="맑은 고딕" w:cs="맑은 고딕"/>
          <w:color w:val="000000"/>
        </w:rPr>
        <w:t>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(2)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나. 부지매입단가, 소각시설 부지면적, 시설설치단가 산정이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(1)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(2) 이 사건 조례 제4조 제1호에서는 부지매입단가는 개발하고자 하는 당해 공동주택단지나 택지의 ‘㎡당 조성원가’를 기준으로 산정하도록 규정하고 있다.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 이와 같이 해석하는 한 위 조례규정이 상위법령의 위임의 한계를 벗어났다고 볼 수 없다(대법원 2016. 12. 15. 선고 2013두8431 판결 참조).</w:t>
      </w:r>
      <w:r>
        <w:rPr>
          <w:rFonts w:ascii="맑은 고딕" w:hAnsi="맑은 고딕" w:eastAsia="맑은 고딕" w:cs="맑은 고딕"/>
          <w:color w:val="000000"/>
        </w:rPr>
        <w:br/>
      </w:r>
      <w:r>
        <w:rPr>
          <w:rFonts w:ascii="맑은 고딕" w:hAnsi="맑은 고딕" w:eastAsia="맑은 고딕" w:cs="맑은 고딕"/>
          <w:color w:val="000000"/>
        </w:rPr>
        <w:t>(3)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w:t>
      </w:r>
      <w:r>
        <w:rPr>
          <w:rFonts w:ascii="맑은 고딕" w:hAnsi="맑은 고딕" w:eastAsia="맑은 고딕" w:cs="맑은 고딕"/>
          <w:color w:val="000000"/>
        </w:rPr>
        <w:br/>
      </w:r>
      <w:r>
        <w:rPr>
          <w:rFonts w:ascii="맑은 고딕" w:hAnsi="맑은 고딕" w:eastAsia="맑은 고딕" w:cs="맑은 고딕"/>
          <w:color w:val="000000"/>
        </w:rPr>
        <w:t>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기록을 살펴보면, 해당 사업지구 바깥의 토지가 시설부지로 확정된 경우가 아니라는 원심의 판단에 논리와 경험의 법칙에 반하여 자유심증주의의 한계를 벗어나거나 관련 법리를 오해하는 등의 잘못이 없다.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다. 음식물폐기물처리시설 규모지수를 적용한 것이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관련 법리에 따라 기록을 살펴보면, 원심의 위와 같은 판단에 폐기물시설촉진법상 폐기물처리시설 설치비용 해당 금액 산정 등에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3.</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참조 조문</w:t>
      </w:r>
    </w:p>
    <w:p>
      <w:pPr>
        <w:autoSpaceDE w:val="0"/>
        <w:autoSpaceDN w:val="0"/>
      </w:pPr>
      <w:r>
        <w:rPr>
          <w:rFonts w:ascii="맑은 고딕" w:hAnsi="맑은 고딕" w:eastAsia="맑은 고딕" w:cs="맑은 고딕"/>
          <w:color w:val="000000"/>
        </w:rPr>
        <w:t>[1] 지방자치법 제22조, 행정규제기본법 제4조 / [2] 구 폐기물처리시설 설치촉진 및 주변지역지원 등에 관한 법률(2013. 8. 13. 법률 제12077호로 개정되기 전의 것) 제2조, 제6조, 구 폐기물처리시설 설치촉진 및 주변지역지원 등에 관한 법률 시행령(2014. 2. 11. 대통령령 제25165호로 개정되기 전의 것) 제4조 / [3]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https://www.law.go.kr/판례/(2016두61044)</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