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t>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t>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판단에는 행정행위의 공정력과 선결문제, 개발제한구역법 제32조의 시정명령위반죄에 관한 법리를 오해하여 판결 결과에 영향을 미친 위법이 있다.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3. 피고인 1의 폐기물관리법위반죄에 관한 양형부당을 주장하는 상고이유에 대하여</w:t>
      </w:r>
      <w:r>
        <w:rPr>
          <w:rFonts w:ascii="맑은 고딕" w:hAnsi="맑은 고딕" w:eastAsia="맑은 고딕" w:cs="맑은 고딕"/>
          <w:color w:val="000000"/>
        </w:rPr>
        <w:br/>
      </w:r>
      <w:r>
        <w:rPr>
          <w:rFonts w:ascii="맑은 고딕" w:hAnsi="맑은 고딕" w:eastAsia="맑은 고딕" w:cs="맑은 고딕"/>
          <w:color w:val="000000"/>
        </w:rPr>
        <w:t>원심판결에 양형조건이 되는 정상에 관한 채증법칙위반의 위법이 있다는 취지의 주장은 결국 양형부당 주장에 해당한다.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4. 파기의 범위</w:t>
      </w:r>
      <w:r>
        <w:rPr>
          <w:rFonts w:ascii="맑은 고딕" w:hAnsi="맑은 고딕" w:eastAsia="맑은 고딕" w:cs="맑은 고딕"/>
          <w:color w:val="000000"/>
        </w:rPr>
        <w:br/>
      </w:r>
      <w:r>
        <w:rPr>
          <w:rFonts w:ascii="맑은 고딕" w:hAnsi="맑은 고딕" w:eastAsia="맑은 고딕" w:cs="맑은 고딕"/>
          <w:color w:val="000000"/>
        </w:rPr>
        <w:t>가. 피고인 1</w:t>
      </w:r>
      <w:r>
        <w:rPr>
          <w:rFonts w:ascii="맑은 고딕" w:hAnsi="맑은 고딕" w:eastAsia="맑은 고딕" w:cs="맑은 고딕"/>
          <w:color w:val="000000"/>
        </w:rPr>
        <w:br/>
      </w:r>
      <w:r>
        <w:rPr>
          <w:rFonts w:ascii="맑은 고딕" w:hAnsi="맑은 고딕" w:eastAsia="맑은 고딕" w:cs="맑은 고딕"/>
          <w:color w:val="000000"/>
        </w:rPr>
        <w:t>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t>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나. 피고인 회사</w:t>
      </w:r>
      <w:r>
        <w:rPr>
          <w:rFonts w:ascii="맑은 고딕" w:hAnsi="맑은 고딕" w:eastAsia="맑은 고딕" w:cs="맑은 고딕"/>
          <w:color w:val="000000"/>
        </w:rPr>
        <w:br/>
      </w:r>
      <w:r>
        <w:rPr>
          <w:rFonts w:ascii="맑은 고딕" w:hAnsi="맑은 고딕" w:eastAsia="맑은 고딕" w:cs="맑은 고딕"/>
          <w:color w:val="000000"/>
        </w:rPr>
        <w:t>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5.</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개발제한구역의 지정 및 관리에 관한 특별조치법 제30조 제1항, 제32조 제2호 / [2] 개발제한구역의 지정 및 관리에 관한 특별조치법 제30조 제1항, 제32조 제2호, 제33조, 행정절차법 제21조, 제22조, 형사소송법 제325조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