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범죄사실이 동일하다. 또한 나머지 적용법조나 위 피고인에 대한 벌금형의 법정형도 같아 원심의 판단에 상고이유 주장과 같이 법리를 오해하고 법령을 잘못 적용함으로써 판결에 영향을 미친 위법이 있다고 보기는 어렵다. 따라서 이 부분 상고이유 주장도 받아들이지 않는다.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판단은 정당하다.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2. 폐기물관리법 제31조 제1항의 ‘폐기물처리시설을 설치·운영하는 자’에 관한 법리오해 주장</w:t>
      </w:r>
      <w:r>
        <w:rPr>
          <w:rFonts w:ascii="맑은 고딕" w:hAnsi="맑은 고딕" w:eastAsia="맑은 고딕" w:cs="맑은 고딕"/>
          <w:color w:val="000000"/>
        </w:rPr>
        <w:br/>
      </w:r>
      <w:r>
        <w:rPr>
          <w:rFonts w:ascii="맑은 고딕" w:hAnsi="맑은 고딕" w:eastAsia="맑은 고딕" w:cs="맑은 고딕"/>
          <w:color w:val="000000"/>
        </w:rPr>
        <w:t>가.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된다(대법원 2007. 12. 28. 선고 2007도8401 판결 참조).</w:t>
      </w:r>
      <w:r>
        <w:rPr>
          <w:rFonts w:ascii="맑은 고딕" w:hAnsi="맑은 고딕" w:eastAsia="맑은 고딕" w:cs="맑은 고딕"/>
          <w:color w:val="000000"/>
        </w:rPr>
        <w:br/>
      </w:r>
      <w:r>
        <w:rPr>
          <w:rFonts w:ascii="맑은 고딕" w:hAnsi="맑은 고딕" w:eastAsia="맑은 고딕" w:cs="맑은 고딕"/>
          <w:color w:val="000000"/>
        </w:rPr>
        <w:t>나.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t>다.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 또한 나머지 적용법조나 위 피고인에 대한 벌금형의 법정형도 같아 원심의 판단에 상고이유 주장과 같이 법리를 오해하고 법령을 잘못 적용함으로써 판결에 영향을 미친 위법이 있다고 보기는 어렵다. 따라서 이 부분 상고이유 주장도 받아들이지 않는다.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color w:val="000000"/>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폐기물관리법 제31조 제1항, 제66조 제13호 / [2] 폐기물관리법 제29조 제2항, 제31조 제1항, 제66조 제13호 / [3] 폐기물관리법 제66조, 제67조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