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공소사실 중 2015. 10. 1.경부터 2015. 10. 2.경까지 폐기물관리법 위반의 점에 대하여 범죄의 증명이 없다고 보아, 이를 유죄로 판단한 제1심판결을 파기하고 무죄를 선고하였다.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2. 피고인의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거짓이나 그 밖의 부정한 방법으로 폐기물처리업 허가를 받은 행위로 인한 폐기물관리법 위반의 점에 관하여</w:t>
      </w:r>
      <w:r>
        <w:rPr>
          <w:rFonts w:ascii="맑은 고딕" w:hAnsi="맑은 고딕" w:eastAsia="맑은 고딕" w:cs="맑은 고딕"/>
          <w:color w:val="000000"/>
        </w:rPr>
        <w:br/>
      </w:r>
      <w:r>
        <w:rPr>
          <w:rFonts w:ascii="맑은 고딕" w:hAnsi="맑은 고딕" w:eastAsia="맑은 고딕" w:cs="맑은 고딕"/>
          <w:color w:val="000000"/>
        </w:rPr>
        <w:t>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w:t>
      </w:r>
      <w:r>
        <w:rPr>
          <w:rFonts w:ascii="맑은 고딕" w:hAnsi="맑은 고딕" w:eastAsia="맑은 고딕" w:cs="맑은 고딕"/>
          <w:color w:val="000000"/>
        </w:rPr>
        <w:br/>
      </w:r>
      <w:r>
        <w:rPr>
          <w:rFonts w:ascii="맑은 고딕" w:hAnsi="맑은 고딕" w:eastAsia="맑은 고딕" w:cs="맑은 고딕"/>
          <w:color w:val="000000"/>
        </w:rPr>
        <w:t>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2. 피고인의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거짓이나 그 밖의 부정한 방법으로 폐기물처리업 허가를 받은 행위로 인한 폐기물관리법 위반의 점에 관하여</w:t>
      </w:r>
      <w:r>
        <w:rPr>
          <w:rFonts w:ascii="맑은 고딕" w:hAnsi="맑은 고딕" w:eastAsia="맑은 고딕" w:cs="맑은 고딕"/>
          <w:color w:val="000000"/>
        </w:rPr>
        <w:br/>
      </w:r>
      <w:r>
        <w:rPr>
          <w:rFonts w:ascii="맑은 고딕" w:hAnsi="맑은 고딕" w:eastAsia="맑은 고딕" w:cs="맑은 고딕"/>
          <w:color w:val="000000"/>
        </w:rPr>
        <w:t>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w:t>
      </w:r>
      <w:r>
        <w:rPr>
          <w:rFonts w:ascii="맑은 고딕" w:hAnsi="맑은 고딕" w:eastAsia="맑은 고딕" w:cs="맑은 고딕"/>
          <w:color w:val="000000"/>
        </w:rPr>
        <w:br/>
      </w:r>
      <w:r>
        <w:rPr>
          <w:rFonts w:ascii="맑은 고딕" w:hAnsi="맑은 고딕" w:eastAsia="맑은 고딕" w:cs="맑은 고딕"/>
          <w:color w:val="000000"/>
        </w:rPr>
        <w:t>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 원심의 판단에는 폐기물관리법 제64조 제6호의 해석에 관한 법리를 오해하여 판결에 영향을 미친 잘못이 있다.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나. 나머지 상고이유에 관하여</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이유를 들어 피고인에 대한 공소사실 중 국가기술자격법 위반의 점, 지정된 장소 이외의 곳에 사업장폐기물을 버린 행위로 인한 폐기물관리법 위반의 점을 유죄로 판단하였다.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3. 파기의 범위</w:t>
      </w:r>
      <w:r>
        <w:rPr>
          <w:rFonts w:ascii="맑은 고딕" w:hAnsi="맑은 고딕" w:eastAsia="맑은 고딕" w:cs="맑은 고딕"/>
          <w:color w:val="000000"/>
        </w:rPr>
        <w:br/>
      </w:r>
      <w:r>
        <w:rPr>
          <w:rFonts w:ascii="맑은 고딕" w:hAnsi="맑은 고딕" w:eastAsia="맑은 고딕" w:cs="맑은 고딕"/>
          <w:color w:val="000000"/>
        </w:rPr>
        <w:t>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r>
        <w:rPr>
          <w:rFonts w:ascii="맑은 고딕" w:hAnsi="맑은 고딕" w:eastAsia="맑은 고딕" w:cs="맑은 고딕"/>
          <w:color w:val="000000"/>
        </w:rPr>
        <w:br/>
      </w:r>
      <w:r>
        <w:rPr>
          <w:rFonts w:ascii="맑은 고딕" w:hAnsi="맑은 고딕" w:eastAsia="맑은 고딕" w:cs="맑은 고딕"/>
          <w:color w:val="000000"/>
        </w:rPr>
        <w:t>4.</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폐기물관리법 제25조 제3항, 제64조 제6호 / [2] 폐기물관리법 제25조 제3항, 제64조 제6호, 형사소송법 제325조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