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원심의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3. 대법원의 판단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바젤협약 및 폐기물국가간이동법 개요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(2)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(3)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사안의 쟁점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폐기물의 국가 간 이동 및 그 처리에 관한 법률 제2조 제1호, 제10조 제1항, 제28조 제1호, 폐기물의 국가 간 이동 및 그 처리에 관한 법률 시행령 제2조, 폐기물의 국가 간 이동 및 그 처리에 관한 법률 적용대상 폐기물의 품목(2017. 10. 19. 환경부고시 제2017-188호) 제1조 [별지], 제2조 [별표 2], 폐기물관리법 제2조 3호 / [2] 폐기물의 국가 간 이동 및 그 처리에 관한 법률 제2조 제1호, 제10조 제1항, 제28조 제1호, 제31조, 폐기물의 국가 간 이동 및 그 처리에 관한 법률 시행령 제2조, 폐기물의 국가 간 이동 및 그 처리에 관한 법률 적용대상 폐기물의 품목(2017. 10. 19. 환경부고시 제2017-188호) 제1조 [별지], 제2조 [별표 2], 폐기물관리법 제2조 3호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