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불법 매립으로 받은 돈, 몰수·추징하려면 ‘범죄로 취득’ 입증이 필요합니다</w:t>
      </w:r>
    </w:p>
    <w:p>
      <w:pPr>
        <w:pStyle w:val="law1"/>
        <w:autoSpaceDE w:val="0"/>
        <w:autoSpaceDN w:val="0"/>
        <w:spacing w:after="160"/>
      </w:pPr>
      <w:r>
        <w:rPr>
          <w:rFonts w:ascii="맑은 고딕" w:hAnsi="맑은 고딕" w:eastAsia="맑은 고딕" w:cs="맑은 고딕"/>
          <w:color w:val="000000"/>
        </w:rPr>
        <w:t>대법원 2020도10970 (2021.07.21 선고)</w:t>
      </w:r>
    </w:p>
    <w:p>
      <w:pPr>
        <w:autoSpaceDE w:val="0"/>
        <w:autoSpaceDN w:val="0"/>
        <w:spacing w:after="120"/>
      </w:pPr>
      <w:r>
        <w:rPr>
          <w:rFonts w:ascii="맑은 고딕" w:hAnsi="맑은 고딕" w:eastAsia="맑은 고딕" w:cs="맑은 고딕"/>
          <w:color w:val="000000"/>
        </w:rPr>
        <w:t>○ 불법 매립을 목적으로 폐기물을 받고 대가를 받았다는 사정만으로 그 돈을 몰수·추징할 수 있는지가 문제된 사건입니다. 대법원은 돈이 범죄행위로 취득된 것이라는 점이 입증되어야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불법 매립 목적으로 폐기물을 받고 받은 돈은 곧바로 몰수·추징 대상인가요?</w:t>
            </w:r>
          </w:p>
          <w:p>
            <w:pPr>
              <w:autoSpaceDE w:val="0"/>
              <w:autoSpaceDN w:val="0"/>
            </w:pPr>
            <w:r>
              <w:rPr>
                <w:rFonts w:ascii="맑은 고딕" w:hAnsi="맑은 고딕" w:eastAsia="맑은 고딕" w:cs="맑은 고딕"/>
                <w:b w:val="0"/>
                <w:color w:val="000000"/>
                <w:sz w:val="19"/>
              </w:rPr>
              <w:t>A. 아니요. 그 돈이 범죄행위로 인하여 취득된 것이라는 점, 즉 범죄를 전제로 수수되었다는 점이 인정되어야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2020도10970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추징에 관한 법리오해 주장에 대하여</w:t>
      </w:r>
      <w:r>
        <w:rPr>
          <w:rFonts w:ascii="맑은 고딕" w:hAnsi="맑은 고딕" w:eastAsia="맑은 고딕" w:cs="맑은 고딕"/>
          <w:color w:val="000000"/>
        </w:rPr>
        <w:br/>
      </w:r>
      <w:r>
        <w:rPr>
          <w:rFonts w:ascii="맑은 고딕" w:hAnsi="맑은 고딕" w:eastAsia="맑은 고딕" w:cs="맑은 고딕"/>
          <w:color w:val="000000"/>
        </w:rPr>
        <w:t>가.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w:t>
      </w:r>
      <w:r>
        <w:rPr>
          <w:rFonts w:ascii="맑은 고딕" w:hAnsi="맑은 고딕" w:eastAsia="맑은 고딕" w:cs="맑은 고딕"/>
          <w:color w:val="000000"/>
        </w:rPr>
        <w:br/>
      </w:r>
      <w:r>
        <w:rPr>
          <w:rFonts w:ascii="맑은 고딕" w:hAnsi="맑은 고딕" w:eastAsia="맑은 고딕" w:cs="맑은 고딕"/>
          <w:color w:val="000000"/>
        </w:rPr>
        <w:t>나.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 피고인들이 사업장폐기물배출업체로부터 받은 돈을 형법 제48조 소정의 몰수ㆍ추징의 대상으로 보기 위해서는 피고인들의 위와 같은 범죄행위로 인하여 취득하였다는 점이 인정되어야만 한다.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t>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 이러한 원심판결에는 몰수ㆍ추징에 관한 법리를 오해하고 필요한 심리를 다하지 아니함으로써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2.</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형법 제48조 / [2] 폐기물관리법 제8조 제2항, 제63조 제2호, 형법 제48조 제1항 제2호, 제2항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https://www.law.go.kr/판례/(2020도10970)</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