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t>원고는 2014. 9. 2.까지 다음과 같은 방식으로 담배를 제조·판매하면서 담배소비세 및 지방교육세를 신고·납부하였다.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당초 담배는 개별소비세의 과세대상이 아니었고, 그중 ‘제1종 궐련’에 20개비당 641원의 담배소비세와 담배소비세액의 100분의 50에 상당하는 지방교육세가 부과되었다. 그런데 2014. 12. 23. 법률 제12846호로 개정된 개별소비세법(이하 ‘개정 후 개별소비세법’이라고 한다)은 제1조 제2항 제6호를 신설하여 ‘제1종 궐련’에 대하여 20개비당 594원의 개별소비세를 부과하도록 정하였다.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t>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rPr>
        <w:t>[3] 자원의 절약과 재활용촉진에 관한 법률 시행령 부칙(2015. 2. 3.) 제2조가 헌법상 원칙적으로 금지되는 진정소급입법에 해당하는지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t>3. 상고이유에 대한 판단</w:t>
      </w:r>
      <w:r>
        <w:rPr>
          <w:rFonts w:ascii="맑은 고딕" w:hAnsi="맑은 고딕" w:eastAsia="맑은 고딕" w:cs="맑은 고딕"/>
          <w:color w:val="000000"/>
        </w:rPr>
        <w:br/>
      </w:r>
      <w:r>
        <w:rPr>
          <w:rFonts w:ascii="맑은 고딕" w:hAnsi="맑은 고딕" w:eastAsia="맑은 고딕" w:cs="맑은 고딕"/>
          <w:color w:val="000000"/>
        </w:rPr>
        <w:t>가. 이 사건 제1담배 부분에 관하여</w:t>
      </w:r>
      <w:r>
        <w:rPr>
          <w:rFonts w:ascii="맑은 고딕" w:hAnsi="맑은 고딕" w:eastAsia="맑은 고딕" w:cs="맑은 고딕"/>
          <w:color w:val="000000"/>
        </w:rPr>
        <w:br/>
      </w:r>
      <w:r>
        <w:rPr>
          <w:rFonts w:ascii="맑은 고딕" w:hAnsi="맑은 고딕" w:eastAsia="맑은 고딕" w:cs="맑은 고딕"/>
          <w:color w:val="000000"/>
        </w:rPr>
        <w:t>1) 2014. 12. 31. 이전 이 사건 임시창고에서 이 사건 각 물류센터로 옮긴 담배 부분</w:t>
      </w:r>
      <w:r>
        <w:rPr>
          <w:rFonts w:ascii="맑은 고딕" w:hAnsi="맑은 고딕" w:eastAsia="맑은 고딕" w:cs="맑은 고딕"/>
          <w:color w:val="000000"/>
        </w:rPr>
        <w:br/>
      </w:r>
      <w:r>
        <w:rPr>
          <w:rFonts w:ascii="맑은 고딕" w:hAnsi="맑은 고딕" w:eastAsia="맑은 고딕" w:cs="맑은 고딕"/>
          <w:color w:val="000000"/>
        </w:rPr>
        <w:t>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color w:val="000000"/>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color w:val="000000"/>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구 자원의 절약과 재활용촉진에 관한 법률(2017. 1. 17. 법률 제14532호로 개정되기 전의 것) 제12조 제1항, 구 자원의 절약과 재활용촉진에 관한 법률 시행령(2015. 2. 3. 대통령령 제26088호로 개정되기 전의 것) 제11조 [별표 2] 제5호, 자원의 절약과 재활용촉진에 관한 법률 시행령 부칙(2015. 2. 3.) 제2조, 구 국민건강증진법(2014. 12. 23. 법률 제12859호로 개정되기 전의 것) 제23조 제1항 제1호, 국민건강증진법 부칙(2014. 12. 23.) 제2조, 담배사업법 시행규칙 제17조 제1항, 제2항, 부칙(2014. 12. 31.) 제1조, 제4조 / [2] 지방세법 제52조 제1항 제1호 (가)목, 제53조, 제54조, 제151조 제1항 제4호, 부칙(2014. 12. 23.) 제2조, 제3조, 개별소비세법 제1조 제2항 제6호, 부칙(2014. 12. 23.) 제2조, 구 자원의 절약과 재활용촉진에 관한 법률(2017. 1. 17. 법률 제14532호로 개정되기 전의 것) 제12조 제1항, 구 자원의 절약과 재활용촉진에 관한 법률 시행령(2015. 2. 3. 대통령령 제26088호로 개정되기 전의 것) 제11조 [별표 2] 제5호, 자원의 절약과 재활용촉진에 관한 법률 시행령 부칙(2015. 2. 3.) 제2조, 구 국민건강증진법(2014. 12. 23. 법률 제12859호로 개정되기 전의 것) 제23조 제1항 제1호, 국민건강증진법 부칙(2014. 12. 23.) 제2조, 담배사업법 시행규칙 제17조 제1항, 제2항, 부칙(2014. 12. 31.) 제1조, 제4조 / [3] 헌법 제13조 제2항, 구 자원의 절약과 재활용촉진에 관한 법률(2017. 1. 17. 법률 제14532호로 개정되기 전의 것) 제12조 제1항, 구 자원의 절약과 재활용촉진에 관한 법률 시행령(2015. 2. 3. 대통령령 제26088호로 개정되기 전의 것) 제11조 [별표 2] 제5호, 자원의 절약과 재활용촉진에 관한 법률 시행령 부칙(2015. 2. 3.) 제2조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