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피고인은 화성시 (주소 생략)에서 ‘(업체명 1 생략)’이라는 상호로 폐기물 중간재활용업을 하는 사람이다.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가.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1)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2) 원심이 유지한 제1심은 판결 이유에서 이 사건 계약의 내용에 관한 피고인의 주장을 피고인이 공소외 1로부터 이 사건 운반차량을 ‘임차’하여 폐기물의 운반차량으로 사용한 것으로 정리하였다.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 그런데 뒤에서 보는 바와 같이 이 사건 계약의 실제 내용을 어떻게 볼지에 따라 폐기물처리업의 변경허가를 받아야 하는 중요사항인 ‘운반차량의 증차’에 해당하는지 여부가 달라질 가능성이 있다.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3) 피고인과 이 사건 계약을 체결한 상대방인 공소외 1은 수사기관에서 조사받은 적이 없고, 피고인에 대한 제1심 공판절차에서 사실확인서를 제출하였을 뿐이다.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4)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5) 한편 원심이 유지한 제1심은 유죄의 증거로 피고인의 일부 법정진술, 공소외 3의 확인서의 기재, 수사보고[폐기물반출내역(업체명 1 생략) 첨부]의 기재, 현장사진의 영상을 거시하였다.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헌법 제12조 제1항, 형법 제1조 제1항 / [2] 폐기물관리법 제25조 제3항, 제5항 제1호, 제5호, 제6항, 폐기물관리법 시행규칙 제28조 제6항 [별표 7] / [3] 폐기물관리법 제25조 제3항, 제11항, 제65조 제14호, 폐기물관리법 시행규칙 제29조 제1항 제3호 (라)목</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