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pPr>
        <w:autoSpaceDE w:val="0"/>
        <w:autoSpaceDN w:val="0"/>
        <w:spacing w:after="60"/>
      </w:pPr>
      <w:r>
        <w:rPr>
          <w:rFonts w:ascii="맑은 고딕" w:hAnsi="맑은 고딕" w:eastAsia="맑은 고딕" w:cs="맑은 고딕"/>
          <w:b/>
          <w:color w:val="000000"/>
          <w:sz w:val="30"/>
        </w:rPr>
        <w:t>폐기물 조치명령을 문자로 보내려면 당사자 동의가 필요합니다</w:t>
      </w:r>
    </w:p>
    <w:p>
      <w:pPr>
        <w:pStyle w:val="law1"/>
        <w:autoSpaceDE w:val="0"/>
        <w:autoSpaceDN w:val="0"/>
        <w:spacing w:after="160"/>
      </w:pPr>
      <w:r>
        <w:rPr>
          <w:rFonts w:ascii="맑은 고딕" w:hAnsi="맑은 고딕" w:eastAsia="맑은 고딕" w:cs="맑은 고딕"/>
          <w:color w:val="000000"/>
        </w:rPr>
        <w:t>대법원 2023도3914 (2024.05.09 선고)</w:t>
      </w:r>
    </w:p>
    <w:p>
      <w:pPr>
        <w:autoSpaceDE w:val="0"/>
        <w:autoSpaceDN w:val="0"/>
        <w:spacing w:after="120"/>
      </w:pPr>
      <w:r>
        <w:rPr>
          <w:rFonts w:ascii="맑은 고딕" w:hAnsi="맑은 고딕" w:eastAsia="맑은 고딕" w:cs="맑은 고딕"/>
          <w:color w:val="000000"/>
        </w:rPr>
        <w:t>○ 휴대전화 문자메시지도 폐기물 조치명령의 ‘서면’에 해당하는지, 전자문서로 조치명령을 하려면 동의가 필요한지가 문제된 사건입니다. 대법원은 문자메시지도 서면에 포함되지만, 전자문서로 하려면 당사자의 동의가 필요하다고 보았습니다.</w:t>
      </w:r>
    </w:p>
    <w:p>
      <w:pPr>
        <w:autoSpaceDE w:val="0"/>
        <w:autoSpaceDN w:val="0"/>
      </w:pPr>
    </w:p>
    <w:p>
      <w:pPr>
        <w:autoSpaceDE w:val="0"/>
        <w:autoSpaceDN w:val="0"/>
      </w:pPr>
    </w:p>
    <w:tbl>
      <w:tblPr>
        <w:tblW w:type="pct" w:w="5000"/>
        <w:tblLook w:firstColumn="1" w:firstRow="1" w:lastColumn="0" w:lastRow="0" w:noHBand="0" w:noVBand="1" w:val="04A0"/>
        <w:tblBorders>
          <w:top w:val="single" w:sz="14" w:space="0" w:color="808080"/>
          <w:left w:val="single" w:sz="14" w:space="0" w:color="808080"/>
          <w:bottom w:val="single" w:sz="14" w:space="0" w:color="808080"/>
          <w:right w:val="single" w:sz="14" w:space="0" w:color="808080"/>
          <w:insideH w:val="single" w:sz="4" w:space="0" w:color="B7B7B7"/>
          <w:insideV w:val="single" w:sz="4" w:space="0" w:color="B7B7B7"/>
        </w:tblBorders>
      </w:tblPr>
      <w:tblGrid>
        <w:gridCol w:w="9026"/>
      </w:tblGrid>
      <w:tr>
        <w:tc>
          <w:tcPr>
            <w:tcW w:type="pct" w:w="5000"/>
            <w:shd w:val="clear" w:color="auto" w:fill="D9D9D9"/>
            <w:tcBorders>
              <w:bottom w:val="double" w:sz="6" w:space="0" w:color="808080"/>
            </w:tcBorders>
          </w:tcPr>
          <w:p>
            <w:pPr>
              <w:autoSpaceDE w:val="0"/>
              <w:autoSpaceDN w:val="0"/>
            </w:pPr>
            <w:r/>
            <w:r>
              <w:rPr>
                <w:rFonts w:ascii="맑은 고딕" w:hAnsi="맑은 고딕" w:eastAsia="맑은 고딕" w:cs="맑은 고딕"/>
                <w:b/>
                <w:color w:val="000000"/>
                <w:sz w:val="21"/>
              </w:rPr>
              <w:t>※ 간단요약</w:t>
            </w:r>
          </w:p>
        </w:tc>
      </w:tr>
      <w:tr>
        <w:tc>
          <w:tcPr>
            <w:tcW w:type="pct" w:w="5000"/>
            <w:shd w:val="clear" w:color="auto" w:fill="F7F7F7"/>
          </w:tcPr>
          <w:p>
            <w:pPr>
              <w:autoSpaceDE w:val="0"/>
              <w:autoSpaceDN w:val="0"/>
            </w:pPr>
            <w:r/>
            <w:r>
              <w:rPr>
                <w:rFonts w:ascii="맑은 고딕" w:hAnsi="맑은 고딕" w:eastAsia="맑은 고딕" w:cs="맑은 고딕"/>
                <w:b/>
                <w:color w:val="000000"/>
                <w:sz w:val="19"/>
              </w:rPr>
              <w:t>Q. 휴대전화 문자메시지도 폐기물 조치명령의 ‘서면’에 해당하나요?</w:t>
            </w:r>
          </w:p>
          <w:p>
            <w:pPr>
              <w:autoSpaceDE w:val="0"/>
              <w:autoSpaceDN w:val="0"/>
            </w:pPr>
            <w:r>
              <w:rPr>
                <w:rFonts w:ascii="맑은 고딕" w:hAnsi="맑은 고딕" w:eastAsia="맑은 고딕" w:cs="맑은 고딕"/>
                <w:b w:val="0"/>
                <w:color w:val="000000"/>
                <w:sz w:val="19"/>
              </w:rPr>
              <w:t>A. 네. 전자문서법 요건을 갖춘 문자메시지는 시행규칙에서 정한 서면의 범위에 포함됩니다.</w:t>
            </w:r>
          </w:p>
          <w:p>
            <w:pPr>
              <w:autoSpaceDE w:val="0"/>
              <w:autoSpaceDN w:val="0"/>
            </w:pPr>
          </w:p>
          <w:p>
            <w:pPr>
              <w:autoSpaceDE w:val="0"/>
              <w:autoSpaceDN w:val="0"/>
            </w:pPr>
            <w:r>
              <w:rPr>
                <w:rFonts w:ascii="맑은 고딕" w:hAnsi="맑은 고딕" w:eastAsia="맑은 고딕" w:cs="맑은 고딕"/>
                <w:b/>
                <w:color w:val="000000"/>
                <w:sz w:val="19"/>
              </w:rPr>
              <w:t>Q. 문자 등 전자문서로 조치명령을 하면 그대로 효력이 있나요?</w:t>
            </w:r>
          </w:p>
          <w:p>
            <w:pPr>
              <w:autoSpaceDE w:val="0"/>
              <w:autoSpaceDN w:val="0"/>
            </w:pPr>
            <w:r>
              <w:rPr>
                <w:rFonts w:ascii="맑은 고딕" w:hAnsi="맑은 고딕" w:eastAsia="맑은 고딕" w:cs="맑은 고딕"/>
                <w:b w:val="0"/>
                <w:color w:val="000000"/>
                <w:sz w:val="19"/>
              </w:rPr>
              <w:t>A. 아니요. 전자문서로 조치명령을 하려면 행정절차법에 따라 당사자의 동의가 필요합니다.</w:t>
            </w:r>
          </w:p>
        </w:tc>
      </w:tr>
    </w:tbl>
    <w:p>
      <w:pPr>
        <w:autoSpaceDE w:val="0"/>
        <w:autoSpaceDN w:val="0"/>
      </w:pPr>
    </w:p>
    <w:p>
      <w:pPr>
        <w:autoSpaceDE w:val="0"/>
        <w:autoSpaceDN w:val="0"/>
      </w:pPr>
    </w:p>
    <w:p>
      <w:pPr>
        <w:pStyle w:val="2"/>
        <w:autoSpaceDE w:val="0"/>
        <w:autoSpaceDN w:val="0"/>
      </w:pPr>
      <w:r>
        <w:rPr>
          <w:rFonts w:ascii="맑은 고딕" w:hAnsi="맑은 고딕" w:eastAsia="맑은 고딕" w:cs="맑은 고딕"/>
          <w:color w:val="000000"/>
        </w:rPr>
        <w:t>1. 사건 개요</w:t>
      </w:r>
    </w:p>
    <w:tbl>
      <w:tblPr>
        <w:tblW w:type="pct" w:w="5000"/>
        <w:tblLook w:firstColumn="1" w:firstRow="1" w:lastColumn="0" w:lastRow="0" w:noHBand="0" w:noVBand="1" w:val="04A0"/>
        <w:tblBorders>
          <w:top w:val="single" w:sz="14" w:space="0" w:color="808080"/>
          <w:left w:val="single" w:sz="14" w:space="0" w:color="808080"/>
          <w:bottom w:val="single" w:sz="14" w:space="0" w:color="808080"/>
          <w:right w:val="single" w:sz="14" w:space="0" w:color="808080"/>
          <w:insideH w:val="single" w:sz="4" w:space="0" w:color="B7B7B7"/>
          <w:insideV w:val="single" w:sz="4" w:space="0" w:color="B7B7B7"/>
        </w:tblBorders>
      </w:tblPr>
      <w:tblGrid>
        <w:gridCol w:w="4513"/>
        <w:gridCol w:w="4513"/>
      </w:tblGrid>
      <w:tr>
        <w:tc>
          <w:tcPr>
            <w:tcW w:type="pct" w:w="1200"/>
            <w:shd w:val="clear" w:color="auto" w:fill="F2F2F2"/>
          </w:tcPr>
          <w:p>
            <w:pPr>
              <w:autoSpaceDE w:val="0"/>
              <w:autoSpaceDN w:val="0"/>
            </w:pPr>
            <w:r/>
            <w:r>
              <w:rPr>
                <w:rFonts w:ascii="맑은 고딕" w:hAnsi="맑은 고딕" w:eastAsia="맑은 고딕" w:cs="맑은 고딕"/>
                <w:b/>
                <w:color w:val="000000"/>
                <w:sz w:val="19"/>
              </w:rPr>
              <w:t>사건번호</w:t>
            </w:r>
          </w:p>
        </w:tc>
        <w:tc>
          <w:tcPr>
            <w:tcW w:type="pct" w:w="3800"/>
          </w:tcPr>
          <w:p>
            <w:pPr>
              <w:autoSpaceDE w:val="0"/>
              <w:autoSpaceDN w:val="0"/>
            </w:pPr>
            <w:r/>
            <w:r>
              <w:rPr>
                <w:rFonts w:ascii="맑은 고딕" w:hAnsi="맑은 고딕" w:eastAsia="맑은 고딕" w:cs="맑은 고딕"/>
                <w:b w:val="0"/>
                <w:color w:val="000000"/>
                <w:sz w:val="19"/>
              </w:rPr>
              <w:t>2023도3914</w:t>
            </w:r>
          </w:p>
        </w:tc>
      </w:tr>
      <w:tr>
        <w:tc>
          <w:tcPr>
            <w:tcW w:type="pct" w:w="1200"/>
            <w:shd w:val="clear" w:color="auto" w:fill="F2F2F2"/>
          </w:tcPr>
          <w:p>
            <w:pPr>
              <w:autoSpaceDE w:val="0"/>
              <w:autoSpaceDN w:val="0"/>
            </w:pPr>
            <w:r/>
            <w:r>
              <w:rPr>
                <w:rFonts w:ascii="맑은 고딕" w:hAnsi="맑은 고딕" w:eastAsia="맑은 고딕" w:cs="맑은 고딕"/>
                <w:b/>
                <w:color w:val="000000"/>
                <w:sz w:val="19"/>
              </w:rPr>
              <w:t>선고일자</w:t>
            </w:r>
          </w:p>
        </w:tc>
        <w:tc>
          <w:tcPr>
            <w:tcW w:type="pct" w:w="3800"/>
          </w:tcPr>
          <w:p>
            <w:pPr>
              <w:autoSpaceDE w:val="0"/>
              <w:autoSpaceDN w:val="0"/>
            </w:pPr>
            <w:r/>
            <w:r>
              <w:rPr>
                <w:rFonts w:ascii="맑은 고딕" w:hAnsi="맑은 고딕" w:eastAsia="맑은 고딕" w:cs="맑은 고딕"/>
                <w:b w:val="0"/>
                <w:color w:val="000000"/>
                <w:sz w:val="19"/>
              </w:rPr>
              <w:t>2024.05.09</w:t>
            </w:r>
          </w:p>
        </w:tc>
      </w:tr>
      <w:tr>
        <w:tc>
          <w:tcPr>
            <w:tcW w:type="pct" w:w="1200"/>
            <w:shd w:val="clear" w:color="auto" w:fill="F2F2F2"/>
          </w:tcPr>
          <w:p>
            <w:pPr>
              <w:autoSpaceDE w:val="0"/>
              <w:autoSpaceDN w:val="0"/>
            </w:pPr>
            <w:r/>
            <w:r>
              <w:rPr>
                <w:rFonts w:ascii="맑은 고딕" w:hAnsi="맑은 고딕" w:eastAsia="맑은 고딕" w:cs="맑은 고딕"/>
                <w:b/>
                <w:color w:val="000000"/>
                <w:sz w:val="19"/>
              </w:rPr>
              <w:t>법원</w:t>
            </w:r>
          </w:p>
        </w:tc>
        <w:tc>
          <w:tcPr>
            <w:tcW w:type="pct" w:w="3800"/>
          </w:tcPr>
          <w:p>
            <w:pPr>
              <w:autoSpaceDE w:val="0"/>
              <w:autoSpaceDN w:val="0"/>
            </w:pPr>
            <w:r/>
            <w:r>
              <w:rPr>
                <w:rFonts w:ascii="맑은 고딕" w:hAnsi="맑은 고딕" w:eastAsia="맑은 고딕" w:cs="맑은 고딕"/>
                <w:b w:val="0"/>
                <w:color w:val="000000"/>
                <w:sz w:val="19"/>
              </w:rPr>
              <w:t>대법원</w:t>
            </w:r>
          </w:p>
        </w:tc>
      </w:tr>
    </w:tbl>
    <w:p>
      <w:pPr>
        <w:autoSpaceDE w:val="0"/>
        <w:autoSpaceDN w:val="0"/>
      </w:pPr>
    </w:p>
    <w:p>
      <w:pPr>
        <w:autoSpaceDE w:val="0"/>
        <w:autoSpaceDN w:val="0"/>
      </w:pPr>
    </w:p>
    <w:p>
      <w:pPr>
        <w:pStyle w:val="2"/>
        <w:autoSpaceDE w:val="0"/>
        <w:autoSpaceDN w:val="0"/>
        <w:spacing w:before="80"/>
      </w:pPr>
      <w:r>
        <w:rPr>
          <w:rFonts w:ascii="맑은 고딕" w:hAnsi="맑은 고딕" w:eastAsia="맑은 고딕" w:cs="맑은 고딕"/>
          <w:color w:val="000000"/>
        </w:rPr>
        <w:t>2. 사실관계</w:t>
      </w:r>
    </w:p>
    <w:p>
      <w:pPr>
        <w:autoSpaceDE w:val="0"/>
        <w:autoSpaceDN w:val="0"/>
      </w:pPr>
      <w:r>
        <w:rPr>
          <w:rFonts w:ascii="맑은 고딕" w:hAnsi="맑은 고딕" w:eastAsia="맑은 고딕" w:cs="맑은 고딕"/>
          <w:color w:val="000000"/>
        </w:rPr>
        <w:t>공소사실의 요지는, 화성시장이 2021. 9. 27. 피고인에 대하여 폐기물관리법 제48조 제1항에 따라 폐기물을 처리할 것을 명하는 조치명령(이하 ‘이 사건 조치명령’이라 한다)을 피고인의 휴대전화 문자메시지를 통해 전송하였는데, 피고인이 이를 이행하지 않아 폐기물관리법을 위반하였다는 것이다.</w:t>
      </w:r>
      <w:r>
        <w:rPr>
          <w:rFonts w:ascii="맑은 고딕" w:hAnsi="맑은 고딕" w:eastAsia="맑은 고딕" w:cs="맑은 고딕"/>
          <w:color w:val="000000"/>
        </w:rPr>
        <w:br/>
      </w:r>
      <w:r>
        <w:rPr>
          <w:rFonts w:ascii="맑은 고딕" w:hAnsi="맑은 고딕" w:eastAsia="맑은 고딕" w:cs="맑은 고딕"/>
          <w:color w:val="000000"/>
        </w:rPr>
        <w:t>원심판결 이유 및 원심이 적법하게 채택하여 조사한 증거에 의하면, 화성시장은 과거에 피고인에게 수차례에 걸쳐 이 사건 조치명령과 동일한 내용의 폐기물 조치명령을 내린 사실, 위와 같이 반복적으로 이루어진 조치명령 중 일부는 전자우편을 통해 피고인에게 송달되었는데, 피고인이 전자우편을 통한 송달에 이의를 제기하지 않았고, 그 결과 피고인이 위와 같이 전자우편으로 송달된 폐기물 조치명령을 이행하지 않았다는 이유로 과거에 형사처벌을 받은 적이 있는 사실을 알 수 있다.</w:t>
      </w:r>
      <w:r>
        <w:rPr>
          <w:rFonts w:ascii="맑은 고딕" w:hAnsi="맑은 고딕" w:eastAsia="맑은 고딕" w:cs="맑은 고딕"/>
          <w:color w:val="000000"/>
        </w:rPr>
        <w:br/>
      </w:r>
      <w:r>
        <w:rPr>
          <w:rFonts w:ascii="맑은 고딕" w:hAnsi="맑은 고딕" w:eastAsia="맑은 고딕" w:cs="맑은 고딕"/>
          <w:color w:val="000000"/>
        </w:rPr>
        <w:t>그러나 과거에 피고인이 동일한 내용의 폐기물 조치명령을 전자우편으로 송달받고도 이의를 제기하지 않았다는 사정만으로, 피고인이 이 사건 조치명령을 휴대전화 문자메시지로 송달받는 데에 동의하였다고 볼 수는 없다. 결국 이 사건 조치명령은 당사자의 동의가 없었음에도 전자문서로 이루어진 처분으로서 구 행정절차법 제24조 제1항을 위반한 하자가 있다.</w:t>
      </w:r>
    </w:p>
    <w:p>
      <w:pPr>
        <w:autoSpaceDE w:val="0"/>
        <w:autoSpaceDN w:val="0"/>
      </w:pPr>
    </w:p>
    <w:p>
      <w:pPr>
        <w:autoSpaceDE w:val="0"/>
        <w:autoSpaceDN w:val="0"/>
      </w:pPr>
    </w:p>
    <w:p>
      <w:pPr>
        <w:pStyle w:val="2"/>
        <w:autoSpaceDE w:val="0"/>
        <w:autoSpaceDN w:val="0"/>
        <w:spacing w:before="80"/>
      </w:pPr>
      <w:r>
        <w:rPr>
          <w:rFonts w:ascii="맑은 고딕" w:hAnsi="맑은 고딕" w:eastAsia="맑은 고딕" w:cs="맑은 고딕"/>
          <w:color w:val="000000"/>
        </w:rPr>
        <w:t>3. 쟁점</w:t>
      </w:r>
    </w:p>
    <w:p>
      <w:pPr>
        <w:autoSpaceDE w:val="0"/>
        <w:autoSpaceDN w:val="0"/>
      </w:pPr>
      <w:r>
        <w:rPr>
          <w:rFonts w:ascii="맑은 고딕" w:hAnsi="맑은 고딕" w:eastAsia="맑은 고딕" w:cs="맑은 고딕"/>
          <w:color w:val="000000"/>
        </w:rPr>
        <w:t>휴대전화 문자메시지가 전자문서 및 전자거래 기본법 제4조의2에서 정한 요건을 갖춘 경우, 폐기물관리법 시행규칙 제68조의3 제1항에서 정한 서면의 범위에 포함되는지 여부(적극) / 행정청이 폐기물관리법 제48조 제1항, 같은 법 시행규칙 제68조의3 제1항에서 정한 폐기물 조치명령을 전자문서로 하는 경우, 구 행정절차법 제24조 제1항에 따라 당사자의 동의가 필요한지 여부(적극)</w:t>
      </w:r>
    </w:p>
    <w:p>
      <w:pPr>
        <w:autoSpaceDE w:val="0"/>
        <w:autoSpaceDN w:val="0"/>
      </w:pPr>
    </w:p>
    <w:p>
      <w:pPr>
        <w:autoSpaceDE w:val="0"/>
        <w:autoSpaceDN w:val="0"/>
      </w:pPr>
    </w:p>
    <w:p>
      <w:pPr>
        <w:pStyle w:val="2"/>
        <w:autoSpaceDE w:val="0"/>
        <w:autoSpaceDN w:val="0"/>
        <w:spacing w:before="80"/>
      </w:pPr>
      <w:r>
        <w:rPr>
          <w:rFonts w:ascii="맑은 고딕" w:hAnsi="맑은 고딕" w:eastAsia="맑은 고딕" w:cs="맑은 고딕"/>
          <w:color w:val="000000"/>
        </w:rPr>
        <w:t>4. 판단</w:t>
      </w:r>
    </w:p>
    <w:p>
      <w:pPr>
        <w:autoSpaceDE w:val="0"/>
        <w:autoSpaceDN w:val="0"/>
      </w:pPr>
      <w:r>
        <w:rPr>
          <w:rFonts w:ascii="맑은 고딕" w:hAnsi="맑은 고딕" w:eastAsia="맑은 고딕" w:cs="맑은 고딕"/>
          <w:color w:val="000000"/>
        </w:rPr>
        <w:t>원심의 판단은 정당하고, 거기에 상고이유와 같이 행정처분의 문서주의의 예외 해당 여부에 관한 법리오해 등의 잘못이 없다.</w:t>
      </w:r>
      <w:r>
        <w:rPr>
          <w:rFonts w:ascii="맑은 고딕" w:hAnsi="맑은 고딕" w:eastAsia="맑은 고딕" w:cs="맑은 고딕"/>
          <w:color w:val="000000"/>
        </w:rPr>
        <w:br/>
      </w:r>
      <w:r>
        <w:rPr>
          <w:rFonts w:ascii="맑은 고딕" w:hAnsi="맑은 고딕" w:eastAsia="맑은 고딕" w:cs="맑은 고딕"/>
          <w:color w:val="000000"/>
        </w:rPr>
        <w:t>4. 이 사건 조치명령의 효력 발생 여부</w:t>
      </w:r>
      <w:r>
        <w:rPr>
          <w:rFonts w:ascii="맑은 고딕" w:hAnsi="맑은 고딕" w:eastAsia="맑은 고딕" w:cs="맑은 고딕"/>
          <w:color w:val="000000"/>
        </w:rPr>
        <w:br/>
      </w:r>
      <w:r>
        <w:rPr>
          <w:rFonts w:ascii="맑은 고딕" w:hAnsi="맑은 고딕" w:eastAsia="맑은 고딕" w:cs="맑은 고딕"/>
          <w:color w:val="000000"/>
        </w:rPr>
        <w:t>가. 행정절차법의 적용을 받는 이 사건 조치명령은, 구 행정절차법 제24조 제1항의 규정에 따라 다른 법령에 특별한 규정이 없는 한 문서로 작성하여 같은 법 제14조에서 정한 송달의 방법으로 상대방에게 송달하여야만 비로소 그 효력이 발생한다(대법원 2003. 12. 11. 선고 2003두7668 판결 등 참조). 그런데 위에서 본 것과 같이 이 사건 조치명령이 구 행정절차법 제24조 제1항을 위반한 이상 이 사건 조치명령은 피고인에 대하여 효력이 발생하지 않았다.</w:t>
      </w:r>
      <w:r>
        <w:rPr>
          <w:rFonts w:ascii="맑은 고딕" w:hAnsi="맑은 고딕" w:eastAsia="맑은 고딕" w:cs="맑은 고딕"/>
          <w:color w:val="000000"/>
        </w:rPr>
        <w:br/>
      </w:r>
      <w:r>
        <w:rPr>
          <w:rFonts w:ascii="맑은 고딕" w:hAnsi="맑은 고딕" w:eastAsia="맑은 고딕" w:cs="맑은 고딕"/>
          <w:color w:val="000000"/>
        </w:rPr>
        <w:t>나. 원심판결의 이유 설시에 다소 미흡한 부분이 있기는 하나, 이 사건 조치명령의 효력이 없는 이상 그 유효함을 전제로 한 공소사실이 증명되지 않았다고 본 원심의</w:t>
      </w:r>
    </w:p>
    <w:p>
      <w:pPr>
        <w:autoSpaceDE w:val="0"/>
        <w:autoSpaceDN w:val="0"/>
      </w:pPr>
    </w:p>
    <w:p>
      <w:pPr>
        <w:autoSpaceDE w:val="0"/>
        <w:autoSpaceDN w:val="0"/>
      </w:pPr>
    </w:p>
    <w:p>
      <w:pPr>
        <w:pStyle w:val="2"/>
        <w:autoSpaceDE w:val="0"/>
        <w:autoSpaceDN w:val="0"/>
        <w:spacing w:before="80"/>
      </w:pPr>
      <w:r>
        <w:rPr>
          <w:rFonts w:ascii="맑은 고딕" w:hAnsi="맑은 고딕" w:eastAsia="맑은 고딕" w:cs="맑은 고딕"/>
          <w:color w:val="000000"/>
        </w:rPr>
        <w:t>5. 판결요지</w:t>
      </w:r>
    </w:p>
    <w:p>
      <w:pPr>
        <w:autoSpaceDE w:val="0"/>
        <w:autoSpaceDN w:val="0"/>
      </w:pPr>
      <w:r>
        <w:rPr>
          <w:rFonts w:ascii="맑은 고딕" w:hAnsi="맑은 고딕" w:eastAsia="맑은 고딕" w:cs="맑은 고딕"/>
          <w:color w:val="000000"/>
        </w:rPr>
        <w:t>전자문서 및 전자거래 기본법(이하 ‘전자문서법’이라 한다) 제2조 제1호, 제4조의2의 규정에 비추어 보면, 전자우편은 물론 휴대전화 문자메시지도 전자문서에 해당한다고 할 것이므로, 휴대전화 문자메시지가 전자문서법 제4조의2에서 정한 요건을 갖춘 이상 폐기물관리법 시행규칙 제68조의3 제1항에서 정한 서면의 범위에 포함된다고 할 것이다.</w:t>
      </w:r>
      <w:r>
        <w:rPr>
          <w:rFonts w:ascii="맑은 고딕" w:hAnsi="맑은 고딕" w:eastAsia="맑은 고딕" w:cs="맑은 고딕"/>
          <w:color w:val="000000"/>
        </w:rPr>
        <w:br/>
      </w:r>
      <w:r>
        <w:rPr>
          <w:rFonts w:ascii="맑은 고딕" w:hAnsi="맑은 고딕" w:eastAsia="맑은 고딕" w:cs="맑은 고딕"/>
          <w:color w:val="000000"/>
        </w:rPr>
        <w:t xml:space="preserve">  다만 행정청이 폐기물관리법 제48조 제1항, 같은 법 시행규칙 제68조의3 제1항에서 정한 폐기물 조치명령을 전자문서로 하고자 할 때에는 구 행정절차법(2022. 1. 11. 법률 제18748호로 개정되기 전의 것) 제24조 제1항에 따라 당사자의 동의가 필요하다.</w:t>
      </w:r>
    </w:p>
    <w:p>
      <w:pPr>
        <w:autoSpaceDE w:val="0"/>
        <w:autoSpaceDN w:val="0"/>
      </w:pPr>
    </w:p>
    <w:p>
      <w:pPr>
        <w:autoSpaceDE w:val="0"/>
        <w:autoSpaceDN w:val="0"/>
      </w:pPr>
    </w:p>
    <w:p>
      <w:pPr>
        <w:pStyle w:val="2"/>
        <w:autoSpaceDE w:val="0"/>
        <w:autoSpaceDN w:val="0"/>
        <w:spacing w:before="80"/>
      </w:pPr>
      <w:r>
        <w:rPr>
          <w:rFonts w:ascii="맑은 고딕" w:hAnsi="맑은 고딕" w:eastAsia="맑은 고딕" w:cs="맑은 고딕"/>
          <w:color w:val="000000"/>
        </w:rPr>
        <w:t>6. 참조 조문</w:t>
      </w:r>
    </w:p>
    <w:p>
      <w:pPr>
        <w:autoSpaceDE w:val="0"/>
        <w:autoSpaceDN w:val="0"/>
      </w:pPr>
      <w:r>
        <w:rPr>
          <w:rFonts w:ascii="맑은 고딕" w:hAnsi="맑은 고딕" w:eastAsia="맑은 고딕" w:cs="맑은 고딕"/>
          <w:color w:val="000000"/>
        </w:rPr>
        <w:t>폐기물관리법 제48조 제1항, 폐기물관리법 시행규칙 제68조의3 제1항, 전자문서 및 전자거래 기본법 제2조 제1호, 제4조의2, 구 행정절차법(2022. 1. 11. 법률 제18748호로 개정되기 전의 것) 제24조 제1항</w:t>
      </w:r>
    </w:p>
    <w:p>
      <w:pPr>
        <w:pStyle w:val="note"/>
        <w:autoSpaceDE w:val="0"/>
        <w:autoSpaceDN w:val="0"/>
        <w:spacing w:before="120"/>
      </w:pPr>
      <w:r>
        <w:rPr>
          <w:rFonts w:ascii="맑은 고딕" w:hAnsi="맑은 고딕" w:eastAsia="맑은 고딕" w:cs="맑은 고딕"/>
          <w:color w:val="000000"/>
        </w:rPr>
        <w:t>※ 본 정리는 국가법령정보센터 판례를 정리한 참고자료이며, 구체적 사안은 판결 원문과 전문가 검토가 필요합니다.</w:t>
      </w:r>
    </w:p>
    <w:p>
      <w:pPr>
        <w:autoSpaceDE w:val="0"/>
        <w:autoSpaceDN w:val="0"/>
        <w:spacing w:before="120"/>
      </w:pPr>
      <w:r>
        <w:rPr>
          <w:rFonts w:ascii="맑은 고딕" w:hAnsi="맑은 고딕" w:eastAsia="맑은 고딕" w:cs="맑은 고딕"/>
          <w:color w:val="000000"/>
          <w:sz w:val="18"/>
        </w:rPr>
        <w:t>원문  https://www.law.go.kr/판례/(2023도3914)</w:t>
      </w:r>
    </w:p>
    <w:p>
      <w:pPr>
        <w:autoSpaceDE w:val="0"/>
        <w:autoSpaceDN w:val="0"/>
        <w:spacing w:before="80"/>
      </w:pPr>
      <w:r>
        <w:rPr>
          <w:rFonts w:ascii="맑은 고딕" w:hAnsi="맑은 고딕" w:eastAsia="맑은 고딕" w:cs="맑은 고딕"/>
          <w:color w:val="000000"/>
          <w:sz w:val="18"/>
        </w:rPr>
        <w:t>태그  #폐기물관리법판례 #형사판례 #대법원판례 #2024년판례 #2023도3914 #환경법 #환경인허가 #인허가서대리 #서대리</w:t>
      </w:r>
    </w:p>
    <w:p>
      <w:pPr>
        <w:pStyle w:val="mark"/>
        <w:autoSpaceDE w:val="0"/>
        <w:autoSpaceDN w:val="0"/>
      </w:pPr>
      <w:r>
        <w:rPr>
          <w:rFonts w:ascii="맑은 고딕" w:hAnsi="맑은 고딕" w:eastAsia="맑은 고딕" w:cs="맑은 고딕"/>
          <w:color w:val="000000"/>
        </w:rPr>
        <w:t>인허가 서대리  https://seodaeri.com/</w:t>
      </w:r>
    </w:p>
    <w:sectPr w:rsidR="00B27BFC">
      <w:pgSz w:w="11906" w:h="16838"/>
      <w:pgMar w:top="1701" w:right="1440" w:bottom="1440" w:left="1440"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25019F" w14:textId="77777777" w:rsidR="00B27BFC" w:rsidRDefault="00B27BFC" w:rsidP="00F52617">
      <w:r>
        <w:separator/>
      </w:r>
    </w:p>
  </w:endnote>
  <w:endnote w:type="continuationSeparator" w:id="0">
    <w:p w14:paraId="7974C6BA" w14:textId="77777777" w:rsidR="00B27BFC" w:rsidRDefault="00B27BFC" w:rsidP="00F5261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굴림">
    <w:altName w:val="Gulim"/>
    <w:panose1 w:val="020B0600000101010101"/>
    <w:charset w:val="81"/>
    <w:family w:val="modern"/>
    <w:pitch w:val="variable"/>
    <w:sig w:usb0="B00002AF" w:usb1="69D77CFB" w:usb2="00000030" w:usb3="00000000" w:csb0="0008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CAD215" w14:textId="77777777" w:rsidR="00B27BFC" w:rsidRDefault="00B27BFC" w:rsidP="00F52617">
      <w:r>
        <w:separator/>
      </w:r>
    </w:p>
  </w:footnote>
  <w:footnote w:type="continuationSeparator" w:id="0">
    <w:p w14:paraId="7300C114" w14:textId="77777777" w:rsidR="00B27BFC" w:rsidRDefault="00B27BFC" w:rsidP="00F5261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EB13F6"/>
    <w:multiLevelType w:val="multilevel"/>
    <w:tmpl w:val="EF2AA2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D8A3F22"/>
    <w:multiLevelType w:val="multilevel"/>
    <w:tmpl w:val="801ADF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0AF3513"/>
    <w:multiLevelType w:val="multilevel"/>
    <w:tmpl w:val="A90A5B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B35387B"/>
    <w:multiLevelType w:val="multilevel"/>
    <w:tmpl w:val="0E32E4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02799665">
    <w:abstractNumId w:val="2"/>
  </w:num>
  <w:num w:numId="2" w16cid:durableId="1051461951">
    <w:abstractNumId w:val="0"/>
  </w:num>
  <w:num w:numId="3" w16cid:durableId="1212620573">
    <w:abstractNumId w:val="3"/>
  </w:num>
  <w:num w:numId="4" w16cid:durableId="62740037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80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F52617"/>
    <w:rsid w:val="00A42A17"/>
    <w:rsid w:val="00B27BFC"/>
    <w:rsid w:val="00F52617"/>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DF796CA"/>
  <w15:chartTrackingRefBased/>
  <w15:docId w15:val="{AB8F6F78-766D-4920-A396-8027FE2C1B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ko-K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굴림" w:eastAsia="굴림" w:hAnsi="굴림" w:cs="굴림"/>
      <w:sz w:val="24"/>
      <w:szCs w:val="24"/>
    </w:rPr>
  </w:style>
  <w:style w:type="paragraph" w:styleId="1">
    <w:name w:val="heading 1"/>
    <w:basedOn w:val="a"/>
    <w:link w:val="1Char"/>
    <w:uiPriority w:val="9"/>
    <w:qFormat/>
    <w:pPr>
      <w:spacing w:before="100" w:beforeAutospacing="1" w:after="100" w:afterAutospacing="1"/>
      <w:outlineLvl w:val="0"/>
    </w:pPr>
    <w:rPr>
      <w:b/>
      <w:bCs/>
      <w:kern w:val="36"/>
      <w:sz w:val="48"/>
      <w:szCs w:val="48"/>
    </w:rPr>
  </w:style>
  <w:style w:type="paragraph" w:styleId="2">
    <w:name w:val="heading 2"/>
    <w:basedOn w:val="a"/>
    <w:link w:val="2Char"/>
    <w:uiPriority w:val="9"/>
    <w:qFormat/>
    <w:pPr>
      <w:spacing w:before="450" w:after="150"/>
      <w:outlineLvl w:val="1"/>
    </w:pPr>
    <w:rPr>
      <w:b/>
      <w:bCs/>
      <w:sz w:val="23"/>
      <w:szCs w:val="23"/>
    </w:rPr>
  </w:style>
  <w:style w:type="paragraph" w:styleId="3">
    <w:name w:val="heading 3"/>
    <w:basedOn w:val="a"/>
    <w:link w:val="3Char"/>
    <w:uiPriority w:val="9"/>
    <w:qFormat/>
    <w:pPr>
      <w:spacing w:before="165" w:after="75"/>
      <w:outlineLvl w:val="2"/>
    </w:pPr>
    <w:rPr>
      <w:b/>
      <w:bCs/>
      <w:sz w:val="20"/>
      <w:szCs w:val="20"/>
    </w:rPr>
  </w:style>
  <w:style w:type="paragraph" w:styleId="4">
    <w:name w:val="heading 4"/>
    <w:basedOn w:val="a"/>
    <w:link w:val="4Char"/>
    <w:uiPriority w:val="9"/>
    <w:qFormat/>
    <w:pPr>
      <w:spacing w:before="210" w:after="75"/>
      <w:outlineLvl w:val="3"/>
    </w:pPr>
    <w:rPr>
      <w:b/>
      <w:bCs/>
      <w:sz w:val="19"/>
      <w:szCs w:val="19"/>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trPr>
      <w:hidden/>
    </w:trPr>
  </w:style>
  <w:style w:type="numbering" w:default="1" w:styleId="a2">
    <w:name w:val="No List"/>
    <w:uiPriority w:val="99"/>
    <w:semiHidden/>
    <w:unhideWhenUsed/>
  </w:style>
  <w:style w:type="character" w:customStyle="1" w:styleId="1Char">
    <w:name w:val="제목 1 Char"/>
    <w:basedOn w:val="a0"/>
    <w:link w:val="1"/>
    <w:uiPriority w:val="9"/>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Pr>
      <w:rFonts w:asciiTheme="majorHAnsi" w:eastAsiaTheme="majorEastAsia" w:hAnsiTheme="majorHAnsi" w:cstheme="majorBidi"/>
      <w:color w:val="000000" w:themeColor="text1"/>
      <w:sz w:val="24"/>
      <w:szCs w:val="24"/>
    </w:rPr>
  </w:style>
  <w:style w:type="character" w:customStyle="1" w:styleId="4Char">
    <w:name w:val="제목 4 Char"/>
    <w:basedOn w:val="a0"/>
    <w:link w:val="4"/>
    <w:uiPriority w:val="9"/>
    <w:semiHidden/>
    <w:rPr>
      <w:rFonts w:asciiTheme="majorHAnsi" w:eastAsiaTheme="majorEastAsia" w:hAnsiTheme="majorHAnsi" w:cstheme="majorBidi"/>
      <w:color w:val="000000" w:themeColor="text1"/>
      <w:sz w:val="24"/>
      <w:szCs w:val="24"/>
    </w:rPr>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customStyle="1" w:styleId="page">
    <w:name w:val="page"/>
    <w:basedOn w:val="a"/>
    <w:pPr>
      <w:shd w:val="clear" w:color="auto" w:fill="FFFFFF"/>
    </w:pPr>
  </w:style>
  <w:style w:type="paragraph" w:customStyle="1" w:styleId="toolbar">
    <w:name w:val="toolbar"/>
    <w:basedOn w:val="a"/>
    <w:pPr>
      <w:jc w:val="right"/>
    </w:pPr>
    <w:rPr>
      <w:vanish/>
    </w:rPr>
  </w:style>
  <w:style w:type="paragraph" w:customStyle="1" w:styleId="btn">
    <w:name w:val="btn"/>
    <w:basedOn w:val="a"/>
    <w:pPr>
      <w:pBdr>
        <w:top w:val="single" w:sz="6" w:space="4" w:color="999999"/>
        <w:left w:val="single" w:sz="6" w:space="11" w:color="999999"/>
        <w:bottom w:val="single" w:sz="6" w:space="4" w:color="999999"/>
        <w:right w:val="single" w:sz="6" w:space="11" w:color="999999"/>
      </w:pBdr>
      <w:shd w:val="clear" w:color="auto" w:fill="FFFFFF"/>
      <w:spacing w:before="100" w:beforeAutospacing="1" w:after="100" w:afterAutospacing="1"/>
    </w:pPr>
    <w:rPr>
      <w:color w:val="333333"/>
      <w:sz w:val="18"/>
      <w:szCs w:val="18"/>
    </w:rPr>
  </w:style>
  <w:style w:type="paragraph" w:customStyle="1" w:styleId="doc-head">
    <w:name w:val="doc-head"/>
    <w:basedOn w:val="a"/>
    <w:pPr>
      <w:spacing w:before="100" w:beforeAutospacing="1" w:after="270"/>
      <w:jc w:val="center"/>
    </w:pPr>
  </w:style>
  <w:style w:type="paragraph" w:customStyle="1" w:styleId="bt">
    <w:name w:val="bt"/>
    <w:basedOn w:val="a"/>
    <w:pPr>
      <w:spacing w:before="75" w:after="45"/>
    </w:pPr>
    <w:rPr>
      <w:sz w:val="19"/>
      <w:szCs w:val="19"/>
    </w:rPr>
  </w:style>
  <w:style w:type="paragraph" w:customStyle="1" w:styleId="law-box">
    <w:name w:val="law-box"/>
    <w:basedOn w:val="a"/>
    <w:pPr>
      <w:shd w:val="clear" w:color="auto" w:fill="FBFBFB"/>
      <w:spacing w:before="120" w:after="60"/>
    </w:pPr>
  </w:style>
  <w:style w:type="paragraph" w:customStyle="1" w:styleId="note">
    <w:name w:val="note"/>
    <w:basedOn w:val="a"/>
    <w:pPr>
      <w:spacing w:before="105"/>
      <w:ind w:hanging="225"/>
    </w:pPr>
    <w:rPr>
      <w:b/>
      <w:bCs/>
      <w:sz w:val="19"/>
      <w:szCs w:val="19"/>
    </w:rPr>
  </w:style>
  <w:style w:type="paragraph" w:customStyle="1" w:styleId="src">
    <w:name w:val="src"/>
    <w:basedOn w:val="a"/>
    <w:pPr>
      <w:spacing w:before="90"/>
    </w:pPr>
    <w:rPr>
      <w:sz w:val="17"/>
      <w:szCs w:val="17"/>
    </w:rPr>
  </w:style>
  <w:style w:type="paragraph" w:customStyle="1" w:styleId="mark">
    <w:name w:val="mark"/>
    <w:basedOn w:val="a"/>
    <w:pPr>
      <w:spacing w:before="90"/>
      <w:jc w:val="right"/>
    </w:pPr>
    <w:rPr>
      <w:b/>
      <w:bCs/>
      <w:color w:val="9A9A9A"/>
      <w:spacing w:val="3"/>
      <w:sz w:val="17"/>
      <w:szCs w:val="17"/>
    </w:rPr>
  </w:style>
  <w:style w:type="paragraph" w:customStyle="1" w:styleId="runfoot">
    <w:name w:val="runfoot"/>
    <w:basedOn w:val="a"/>
    <w:pPr>
      <w:spacing w:before="240" w:after="100" w:afterAutospacing="1"/>
    </w:pPr>
    <w:rPr>
      <w:b/>
      <w:bCs/>
      <w:color w:val="666666"/>
      <w:sz w:val="17"/>
      <w:szCs w:val="17"/>
    </w:rPr>
  </w:style>
  <w:style w:type="paragraph" w:customStyle="1" w:styleId="sm">
    <w:name w:val="sm"/>
    <w:basedOn w:val="a"/>
    <w:pPr>
      <w:spacing w:before="100" w:beforeAutospacing="1" w:after="100" w:afterAutospacing="1"/>
    </w:pPr>
  </w:style>
  <w:style w:type="paragraph" w:customStyle="1" w:styleId="law">
    <w:name w:val="law"/>
    <w:basedOn w:val="a"/>
    <w:pPr>
      <w:spacing w:before="100" w:beforeAutospacing="1" w:after="100" w:afterAutospacing="1"/>
    </w:pPr>
  </w:style>
  <w:style w:type="paragraph" w:customStyle="1" w:styleId="rule">
    <w:name w:val="rule"/>
    <w:basedOn w:val="a"/>
    <w:pPr>
      <w:spacing w:before="100" w:beforeAutospacing="1" w:after="100" w:afterAutospacing="1"/>
    </w:pPr>
  </w:style>
  <w:style w:type="paragraph" w:customStyle="1" w:styleId="sep">
    <w:name w:val="sep"/>
    <w:basedOn w:val="a"/>
    <w:pPr>
      <w:spacing w:before="100" w:beforeAutospacing="1" w:after="100" w:afterAutospacing="1"/>
    </w:pPr>
  </w:style>
  <w:style w:type="paragraph" w:customStyle="1" w:styleId="grp">
    <w:name w:val="grp"/>
    <w:basedOn w:val="a"/>
    <w:pPr>
      <w:spacing w:before="100" w:beforeAutospacing="1" w:after="100" w:afterAutospacing="1"/>
    </w:pPr>
  </w:style>
  <w:style w:type="paragraph" w:customStyle="1" w:styleId="v">
    <w:name w:val="v"/>
    <w:basedOn w:val="a"/>
    <w:pPr>
      <w:spacing w:before="100" w:beforeAutospacing="1" w:after="100" w:afterAutospacing="1"/>
    </w:pPr>
  </w:style>
  <w:style w:type="paragraph" w:customStyle="1" w:styleId="ctr">
    <w:name w:val="ctr"/>
    <w:basedOn w:val="a"/>
    <w:pPr>
      <w:spacing w:before="100" w:beforeAutospacing="1" w:after="100" w:afterAutospacing="1"/>
    </w:pPr>
  </w:style>
  <w:style w:type="paragraph" w:customStyle="1" w:styleId="key">
    <w:name w:val="key"/>
    <w:basedOn w:val="a"/>
    <w:pPr>
      <w:spacing w:before="100" w:beforeAutospacing="1" w:after="100" w:afterAutospacing="1"/>
    </w:pPr>
  </w:style>
  <w:style w:type="paragraph" w:customStyle="1" w:styleId="lw">
    <w:name w:val="lw"/>
    <w:basedOn w:val="a"/>
    <w:pPr>
      <w:spacing w:before="100" w:beforeAutospacing="1" w:after="100" w:afterAutospacing="1"/>
    </w:pPr>
  </w:style>
  <w:style w:type="paragraph" w:customStyle="1" w:styleId="na">
    <w:name w:val="na"/>
    <w:basedOn w:val="a"/>
    <w:pPr>
      <w:spacing w:before="100" w:beforeAutospacing="1" w:after="100" w:afterAutospacing="1"/>
    </w:pPr>
  </w:style>
  <w:style w:type="paragraph" w:customStyle="1" w:styleId="cite">
    <w:name w:val="cite"/>
    <w:basedOn w:val="a"/>
    <w:pPr>
      <w:spacing w:before="100" w:beforeAutospacing="1" w:after="100" w:afterAutospacing="1"/>
    </w:pPr>
  </w:style>
  <w:style w:type="paragraph" w:customStyle="1" w:styleId="body">
    <w:name w:val="body"/>
    <w:basedOn w:val="a"/>
    <w:pPr>
      <w:spacing w:before="100" w:beforeAutospacing="1" w:after="100" w:afterAutospacing="1"/>
    </w:pPr>
  </w:style>
  <w:style w:type="paragraph" w:customStyle="1" w:styleId="u">
    <w:name w:val="u"/>
    <w:basedOn w:val="a"/>
    <w:pPr>
      <w:spacing w:before="100" w:beforeAutospacing="1" w:after="100" w:afterAutospacing="1"/>
    </w:pPr>
  </w:style>
  <w:style w:type="paragraph" w:customStyle="1" w:styleId="brand">
    <w:name w:val="brand"/>
    <w:basedOn w:val="a"/>
    <w:pPr>
      <w:spacing w:before="100" w:beforeAutospacing="1" w:after="100" w:afterAutospacing="1"/>
    </w:pPr>
  </w:style>
  <w:style w:type="paragraph" w:customStyle="1" w:styleId="url">
    <w:name w:val="url"/>
    <w:basedOn w:val="a"/>
    <w:pPr>
      <w:spacing w:before="100" w:beforeAutospacing="1" w:after="100" w:afterAutospacing="1"/>
    </w:pPr>
  </w:style>
  <w:style w:type="paragraph" w:customStyle="1" w:styleId="ho">
    <w:name w:val="ho"/>
    <w:basedOn w:val="a"/>
    <w:pPr>
      <w:spacing w:before="100" w:beforeAutospacing="1" w:after="100" w:afterAutospacing="1"/>
    </w:pPr>
  </w:style>
  <w:style w:type="paragraph" w:customStyle="1" w:styleId="mok">
    <w:name w:val="mok"/>
    <w:basedOn w:val="a"/>
    <w:pPr>
      <w:spacing w:before="100" w:beforeAutospacing="1" w:after="100" w:afterAutospacing="1"/>
    </w:pPr>
  </w:style>
  <w:style w:type="paragraph" w:customStyle="1" w:styleId="amend">
    <w:name w:val="amend"/>
    <w:basedOn w:val="a"/>
    <w:pPr>
      <w:spacing w:before="100" w:beforeAutospacing="1" w:after="100" w:afterAutospacing="1"/>
    </w:pPr>
  </w:style>
  <w:style w:type="paragraph" w:customStyle="1" w:styleId="bigo-t">
    <w:name w:val="bigo-t"/>
    <w:basedOn w:val="a"/>
    <w:pPr>
      <w:spacing w:before="100" w:beforeAutospacing="1" w:after="100" w:afterAutospacing="1"/>
    </w:pPr>
  </w:style>
  <w:style w:type="paragraph" w:customStyle="1" w:styleId="eq">
    <w:name w:val="eq"/>
    <w:basedOn w:val="a"/>
    <w:pPr>
      <w:spacing w:before="100" w:beforeAutospacing="1" w:after="100" w:afterAutospacing="1"/>
    </w:pPr>
  </w:style>
  <w:style w:type="paragraph" w:customStyle="1" w:styleId="law1">
    <w:name w:val="law1"/>
    <w:basedOn w:val="a"/>
    <w:pPr>
      <w:spacing w:after="180"/>
    </w:pPr>
    <w:rPr>
      <w:sz w:val="19"/>
      <w:szCs w:val="19"/>
    </w:rPr>
  </w:style>
  <w:style w:type="paragraph" w:customStyle="1" w:styleId="rule1">
    <w:name w:val="rule1"/>
    <w:basedOn w:val="a"/>
  </w:style>
  <w:style w:type="paragraph" w:customStyle="1" w:styleId="sm1">
    <w:name w:val="sm1"/>
    <w:basedOn w:val="a"/>
    <w:pPr>
      <w:spacing w:before="100" w:beforeAutospacing="1" w:after="100" w:afterAutospacing="1"/>
      <w:ind w:left="90"/>
    </w:pPr>
    <w:rPr>
      <w:sz w:val="17"/>
      <w:szCs w:val="17"/>
    </w:rPr>
  </w:style>
  <w:style w:type="paragraph" w:customStyle="1" w:styleId="sep1">
    <w:name w:val="sep1"/>
    <w:basedOn w:val="a"/>
    <w:pPr>
      <w:pBdr>
        <w:left w:val="single" w:sz="6" w:space="0" w:color="E0E0E0"/>
      </w:pBdr>
      <w:spacing w:before="100" w:beforeAutospacing="1" w:after="100" w:afterAutospacing="1"/>
    </w:pPr>
  </w:style>
  <w:style w:type="paragraph" w:customStyle="1" w:styleId="grp1">
    <w:name w:val="grp1"/>
    <w:basedOn w:val="a"/>
    <w:pPr>
      <w:shd w:val="clear" w:color="auto" w:fill="F5F5F5"/>
      <w:spacing w:before="100" w:beforeAutospacing="1" w:after="100" w:afterAutospacing="1"/>
      <w:jc w:val="center"/>
      <w:textAlignment w:val="center"/>
    </w:pPr>
    <w:rPr>
      <w:b/>
      <w:bCs/>
    </w:rPr>
  </w:style>
  <w:style w:type="paragraph" w:customStyle="1" w:styleId="v1">
    <w:name w:val="v1"/>
    <w:basedOn w:val="a"/>
    <w:pPr>
      <w:spacing w:before="100" w:beforeAutospacing="1" w:after="100" w:afterAutospacing="1"/>
      <w:textAlignment w:val="center"/>
    </w:pPr>
  </w:style>
  <w:style w:type="paragraph" w:customStyle="1" w:styleId="ctr1">
    <w:name w:val="ctr1"/>
    <w:basedOn w:val="a"/>
    <w:pPr>
      <w:spacing w:before="100" w:beforeAutospacing="1" w:after="100" w:afterAutospacing="1"/>
      <w:jc w:val="center"/>
    </w:pPr>
  </w:style>
  <w:style w:type="paragraph" w:customStyle="1" w:styleId="key1">
    <w:name w:val="key1"/>
    <w:basedOn w:val="a"/>
    <w:pPr>
      <w:spacing w:before="100" w:beforeAutospacing="1" w:after="100" w:afterAutospacing="1"/>
    </w:pPr>
    <w:rPr>
      <w:b/>
      <w:bCs/>
    </w:rPr>
  </w:style>
  <w:style w:type="paragraph" w:customStyle="1" w:styleId="lw1">
    <w:name w:val="lw1"/>
    <w:basedOn w:val="a"/>
    <w:pPr>
      <w:spacing w:before="100" w:beforeAutospacing="1" w:after="100" w:afterAutospacing="1"/>
      <w:ind w:left="60"/>
    </w:pPr>
    <w:rPr>
      <w:sz w:val="17"/>
      <w:szCs w:val="17"/>
    </w:rPr>
  </w:style>
  <w:style w:type="paragraph" w:customStyle="1" w:styleId="na1">
    <w:name w:val="na1"/>
    <w:basedOn w:val="a"/>
    <w:pPr>
      <w:spacing w:before="100" w:beforeAutospacing="1" w:after="100" w:afterAutospacing="1"/>
    </w:pPr>
    <w:rPr>
      <w:color w:val="8A8A8A"/>
    </w:rPr>
  </w:style>
  <w:style w:type="paragraph" w:customStyle="1" w:styleId="cite1">
    <w:name w:val="cite1"/>
    <w:basedOn w:val="a"/>
    <w:pPr>
      <w:spacing w:after="90"/>
    </w:pPr>
    <w:rPr>
      <w:b/>
      <w:bCs/>
      <w:sz w:val="17"/>
      <w:szCs w:val="17"/>
    </w:rPr>
  </w:style>
  <w:style w:type="paragraph" w:customStyle="1" w:styleId="body1">
    <w:name w:val="body1"/>
    <w:basedOn w:val="a"/>
    <w:pPr>
      <w:spacing w:before="100" w:beforeAutospacing="1" w:after="100" w:afterAutospacing="1"/>
    </w:pPr>
    <w:rPr>
      <w:color w:val="000000"/>
      <w:sz w:val="19"/>
      <w:szCs w:val="19"/>
    </w:rPr>
  </w:style>
  <w:style w:type="paragraph" w:customStyle="1" w:styleId="ho1">
    <w:name w:val="ho1"/>
    <w:basedOn w:val="a"/>
    <w:pPr>
      <w:spacing w:after="75"/>
    </w:pPr>
  </w:style>
  <w:style w:type="paragraph" w:customStyle="1" w:styleId="mok1">
    <w:name w:val="mok1"/>
    <w:basedOn w:val="a"/>
    <w:pPr>
      <w:spacing w:after="75"/>
    </w:pPr>
  </w:style>
  <w:style w:type="paragraph" w:customStyle="1" w:styleId="amend1">
    <w:name w:val="amend1"/>
    <w:basedOn w:val="a"/>
    <w:pPr>
      <w:spacing w:after="75"/>
    </w:pPr>
    <w:rPr>
      <w:sz w:val="16"/>
      <w:szCs w:val="16"/>
    </w:rPr>
  </w:style>
  <w:style w:type="paragraph" w:customStyle="1" w:styleId="bigo-t1">
    <w:name w:val="bigo-t1"/>
    <w:basedOn w:val="a"/>
    <w:pPr>
      <w:spacing w:before="120" w:after="45"/>
    </w:pPr>
    <w:rPr>
      <w:rFonts w:ascii="맑은 고딕" w:eastAsia="맑은 고딕" w:hAnsi="맑은 고딕"/>
      <w:b/>
      <w:bCs/>
      <w:sz w:val="17"/>
      <w:szCs w:val="17"/>
    </w:rPr>
  </w:style>
  <w:style w:type="paragraph" w:customStyle="1" w:styleId="eq1">
    <w:name w:val="eq1"/>
    <w:basedOn w:val="a"/>
    <w:pPr>
      <w:spacing w:before="75" w:after="75"/>
    </w:pPr>
  </w:style>
  <w:style w:type="paragraph" w:customStyle="1" w:styleId="u1">
    <w:name w:val="u1"/>
    <w:basedOn w:val="a"/>
    <w:pPr>
      <w:spacing w:before="100" w:beforeAutospacing="1" w:after="100" w:afterAutospacing="1"/>
      <w:ind w:left="60"/>
    </w:pPr>
    <w:rPr>
      <w:b/>
      <w:bCs/>
      <w:color w:val="B0B0B0"/>
    </w:rPr>
  </w:style>
  <w:style w:type="paragraph" w:customStyle="1" w:styleId="brand1">
    <w:name w:val="brand1"/>
    <w:basedOn w:val="a"/>
    <w:pPr>
      <w:spacing w:before="100" w:beforeAutospacing="1" w:after="100" w:afterAutospacing="1"/>
    </w:pPr>
    <w:rPr>
      <w:b/>
      <w:bCs/>
      <w:color w:val="555555"/>
    </w:rPr>
  </w:style>
  <w:style w:type="paragraph" w:customStyle="1" w:styleId="url1">
    <w:name w:val="url1"/>
    <w:basedOn w:val="a"/>
    <w:pPr>
      <w:spacing w:before="100" w:beforeAutospacing="1" w:after="100" w:afterAutospacing="1"/>
    </w:pPr>
    <w:rPr>
      <w:color w:val="777777"/>
    </w:rPr>
  </w:style>
  <w:style w:type="character" w:customStyle="1" w:styleId="amend2">
    <w:name w:val="amend2"/>
    <w:basedOn w:val="a0"/>
    <w:rPr>
      <w:sz w:val="16"/>
      <w:szCs w:val="16"/>
    </w:rPr>
  </w:style>
  <w:style w:type="paragraph" w:styleId="a4">
    <w:name w:val="header"/>
    <w:basedOn w:val="a"/>
    <w:link w:val="Char"/>
    <w:uiPriority w:val="99"/>
    <w:unhideWhenUsed/>
    <w:rsid w:val="00F52617"/>
    <w:pPr>
      <w:tabs>
        <w:tab w:val="center" w:pos="4513"/>
        <w:tab w:val="right" w:pos="9026"/>
      </w:tabs>
      <w:snapToGrid w:val="0"/>
    </w:pPr>
  </w:style>
  <w:style w:type="character" w:customStyle="1" w:styleId="Char">
    <w:name w:val="머리글 Char"/>
    <w:basedOn w:val="a0"/>
    <w:link w:val="a4"/>
    <w:uiPriority w:val="99"/>
    <w:rsid w:val="00F52617"/>
    <w:rPr>
      <w:rFonts w:ascii="굴림" w:eastAsia="굴림" w:hAnsi="굴림" w:cs="굴림"/>
      <w:sz w:val="24"/>
      <w:szCs w:val="24"/>
    </w:rPr>
  </w:style>
  <w:style w:type="paragraph" w:styleId="a5">
    <w:name w:val="footer"/>
    <w:basedOn w:val="a"/>
    <w:link w:val="Char0"/>
    <w:uiPriority w:val="99"/>
    <w:unhideWhenUsed/>
    <w:rsid w:val="00F52617"/>
    <w:pPr>
      <w:tabs>
        <w:tab w:val="center" w:pos="4513"/>
        <w:tab w:val="right" w:pos="9026"/>
      </w:tabs>
      <w:snapToGrid w:val="0"/>
    </w:pPr>
  </w:style>
  <w:style w:type="character" w:customStyle="1" w:styleId="Char0">
    <w:name w:val="바닥글 Char"/>
    <w:basedOn w:val="a0"/>
    <w:link w:val="a5"/>
    <w:uiPriority w:val="99"/>
    <w:rsid w:val="00F52617"/>
    <w:rPr>
      <w:rFonts w:ascii="굴림" w:eastAsia="굴림" w:hAnsi="굴림" w:cs="굴림"/>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4857381">
      <w:marLeft w:val="0"/>
      <w:marRight w:val="0"/>
      <w:marTop w:val="0"/>
      <w:marBottom w:val="0"/>
      <w:divBdr>
        <w:top w:val="none" w:sz="0" w:space="0" w:color="auto"/>
        <w:left w:val="none" w:sz="0" w:space="0" w:color="auto"/>
        <w:bottom w:val="none" w:sz="0" w:space="0" w:color="auto"/>
        <w:right w:val="none" w:sz="0" w:space="0" w:color="auto"/>
      </w:divBdr>
      <w:divsChild>
        <w:div w:id="62219238">
          <w:marLeft w:val="0"/>
          <w:marRight w:val="0"/>
          <w:marTop w:val="0"/>
          <w:marBottom w:val="270"/>
          <w:divBdr>
            <w:top w:val="none" w:sz="0" w:space="0" w:color="auto"/>
            <w:left w:val="none" w:sz="0" w:space="0" w:color="auto"/>
            <w:bottom w:val="none" w:sz="0" w:space="0" w:color="auto"/>
            <w:right w:val="none" w:sz="0" w:space="0" w:color="auto"/>
          </w:divBdr>
        </w:div>
        <w:div w:id="327709656">
          <w:marLeft w:val="0"/>
          <w:marRight w:val="0"/>
          <w:marTop w:val="120"/>
          <w:marBottom w:val="60"/>
          <w:divBdr>
            <w:top w:val="none" w:sz="0" w:space="0" w:color="auto"/>
            <w:left w:val="none" w:sz="0" w:space="0" w:color="auto"/>
            <w:bottom w:val="none" w:sz="0" w:space="0" w:color="auto"/>
            <w:right w:val="none" w:sz="0" w:space="0" w:color="auto"/>
          </w:divBdr>
          <w:divsChild>
            <w:div w:id="663360407">
              <w:marLeft w:val="0"/>
              <w:marRight w:val="0"/>
              <w:marTop w:val="0"/>
              <w:marBottom w:val="0"/>
              <w:divBdr>
                <w:top w:val="none" w:sz="0" w:space="0" w:color="auto"/>
                <w:left w:val="none" w:sz="0" w:space="0" w:color="auto"/>
                <w:bottom w:val="none" w:sz="0" w:space="0" w:color="auto"/>
                <w:right w:val="none" w:sz="0" w:space="0" w:color="auto"/>
              </w:divBdr>
            </w:div>
          </w:divsChild>
        </w:div>
        <w:div w:id="1240868215">
          <w:marLeft w:val="0"/>
          <w:marRight w:val="0"/>
          <w:marTop w:val="120"/>
          <w:marBottom w:val="60"/>
          <w:divBdr>
            <w:top w:val="none" w:sz="0" w:space="0" w:color="auto"/>
            <w:left w:val="none" w:sz="0" w:space="0" w:color="auto"/>
            <w:bottom w:val="none" w:sz="0" w:space="0" w:color="auto"/>
            <w:right w:val="none" w:sz="0" w:space="0" w:color="auto"/>
          </w:divBdr>
          <w:divsChild>
            <w:div w:id="1496334653">
              <w:marLeft w:val="0"/>
              <w:marRight w:val="0"/>
              <w:marTop w:val="0"/>
              <w:marBottom w:val="0"/>
              <w:divBdr>
                <w:top w:val="none" w:sz="0" w:space="0" w:color="auto"/>
                <w:left w:val="none" w:sz="0" w:space="0" w:color="auto"/>
                <w:bottom w:val="none" w:sz="0" w:space="0" w:color="auto"/>
                <w:right w:val="none" w:sz="0" w:space="0" w:color="auto"/>
              </w:divBdr>
            </w:div>
          </w:divsChild>
        </w:div>
        <w:div w:id="712464575">
          <w:marLeft w:val="0"/>
          <w:marRight w:val="0"/>
          <w:marTop w:val="120"/>
          <w:marBottom w:val="60"/>
          <w:divBdr>
            <w:top w:val="none" w:sz="0" w:space="0" w:color="auto"/>
            <w:left w:val="none" w:sz="0" w:space="0" w:color="auto"/>
            <w:bottom w:val="none" w:sz="0" w:space="0" w:color="auto"/>
            <w:right w:val="none" w:sz="0" w:space="0" w:color="auto"/>
          </w:divBdr>
          <w:divsChild>
            <w:div w:id="1494491713">
              <w:marLeft w:val="0"/>
              <w:marRight w:val="0"/>
              <w:marTop w:val="0"/>
              <w:marBottom w:val="0"/>
              <w:divBdr>
                <w:top w:val="none" w:sz="0" w:space="0" w:color="auto"/>
                <w:left w:val="none" w:sz="0" w:space="0" w:color="auto"/>
                <w:bottom w:val="none" w:sz="0" w:space="0" w:color="auto"/>
                <w:right w:val="none" w:sz="0" w:space="0" w:color="auto"/>
              </w:divBdr>
            </w:div>
          </w:divsChild>
        </w:div>
        <w:div w:id="1865095160">
          <w:marLeft w:val="0"/>
          <w:marRight w:val="0"/>
          <w:marTop w:val="120"/>
          <w:marBottom w:val="60"/>
          <w:divBdr>
            <w:top w:val="none" w:sz="0" w:space="0" w:color="auto"/>
            <w:left w:val="none" w:sz="0" w:space="0" w:color="auto"/>
            <w:bottom w:val="none" w:sz="0" w:space="0" w:color="auto"/>
            <w:right w:val="none" w:sz="0" w:space="0" w:color="auto"/>
          </w:divBdr>
          <w:divsChild>
            <w:div w:id="1802578676">
              <w:marLeft w:val="0"/>
              <w:marRight w:val="0"/>
              <w:marTop w:val="0"/>
              <w:marBottom w:val="0"/>
              <w:divBdr>
                <w:top w:val="none" w:sz="0" w:space="0" w:color="auto"/>
                <w:left w:val="none" w:sz="0" w:space="0" w:color="auto"/>
                <w:bottom w:val="none" w:sz="0" w:space="0" w:color="auto"/>
                <w:right w:val="none" w:sz="0" w:space="0" w:color="auto"/>
              </w:divBdr>
            </w:div>
          </w:divsChild>
        </w:div>
        <w:div w:id="45494963">
          <w:marLeft w:val="0"/>
          <w:marRight w:val="0"/>
          <w:marTop w:val="120"/>
          <w:marBottom w:val="60"/>
          <w:divBdr>
            <w:top w:val="none" w:sz="0" w:space="0" w:color="auto"/>
            <w:left w:val="none" w:sz="0" w:space="0" w:color="auto"/>
            <w:bottom w:val="none" w:sz="0" w:space="0" w:color="auto"/>
            <w:right w:val="none" w:sz="0" w:space="0" w:color="auto"/>
          </w:divBdr>
          <w:divsChild>
            <w:div w:id="2001809288">
              <w:marLeft w:val="0"/>
              <w:marRight w:val="0"/>
              <w:marTop w:val="0"/>
              <w:marBottom w:val="0"/>
              <w:divBdr>
                <w:top w:val="none" w:sz="0" w:space="0" w:color="auto"/>
                <w:left w:val="none" w:sz="0" w:space="0" w:color="auto"/>
                <w:bottom w:val="none" w:sz="0" w:space="0" w:color="auto"/>
                <w:right w:val="none" w:sz="0" w:space="0" w:color="auto"/>
              </w:divBdr>
            </w:div>
          </w:divsChild>
        </w:div>
        <w:div w:id="1593124277">
          <w:marLeft w:val="0"/>
          <w:marRight w:val="0"/>
          <w:marTop w:val="120"/>
          <w:marBottom w:val="60"/>
          <w:divBdr>
            <w:top w:val="none" w:sz="0" w:space="0" w:color="auto"/>
            <w:left w:val="none" w:sz="0" w:space="0" w:color="auto"/>
            <w:bottom w:val="none" w:sz="0" w:space="0" w:color="auto"/>
            <w:right w:val="none" w:sz="0" w:space="0" w:color="auto"/>
          </w:divBdr>
          <w:divsChild>
            <w:div w:id="228228507">
              <w:marLeft w:val="0"/>
              <w:marRight w:val="0"/>
              <w:marTop w:val="0"/>
              <w:marBottom w:val="0"/>
              <w:divBdr>
                <w:top w:val="none" w:sz="0" w:space="0" w:color="auto"/>
                <w:left w:val="none" w:sz="0" w:space="0" w:color="auto"/>
                <w:bottom w:val="none" w:sz="0" w:space="0" w:color="auto"/>
                <w:right w:val="none" w:sz="0" w:space="0" w:color="auto"/>
              </w:divBdr>
            </w:div>
          </w:divsChild>
        </w:div>
        <w:div w:id="94373273">
          <w:marLeft w:val="0"/>
          <w:marRight w:val="0"/>
          <w:marTop w:val="120"/>
          <w:marBottom w:val="60"/>
          <w:divBdr>
            <w:top w:val="none" w:sz="0" w:space="0" w:color="auto"/>
            <w:left w:val="none" w:sz="0" w:space="0" w:color="auto"/>
            <w:bottom w:val="none" w:sz="0" w:space="0" w:color="auto"/>
            <w:right w:val="none" w:sz="0" w:space="0" w:color="auto"/>
          </w:divBdr>
          <w:divsChild>
            <w:div w:id="1841700196">
              <w:marLeft w:val="0"/>
              <w:marRight w:val="0"/>
              <w:marTop w:val="0"/>
              <w:marBottom w:val="0"/>
              <w:divBdr>
                <w:top w:val="none" w:sz="0" w:space="0" w:color="auto"/>
                <w:left w:val="none" w:sz="0" w:space="0" w:color="auto"/>
                <w:bottom w:val="none" w:sz="0" w:space="0" w:color="auto"/>
                <w:right w:val="none" w:sz="0" w:space="0" w:color="auto"/>
              </w:divBdr>
            </w:div>
          </w:divsChild>
        </w:div>
        <w:div w:id="475339630">
          <w:marLeft w:val="0"/>
          <w:marRight w:val="0"/>
          <w:marTop w:val="120"/>
          <w:marBottom w:val="60"/>
          <w:divBdr>
            <w:top w:val="none" w:sz="0" w:space="0" w:color="auto"/>
            <w:left w:val="none" w:sz="0" w:space="0" w:color="auto"/>
            <w:bottom w:val="none" w:sz="0" w:space="0" w:color="auto"/>
            <w:right w:val="none" w:sz="0" w:space="0" w:color="auto"/>
          </w:divBdr>
          <w:divsChild>
            <w:div w:id="1256476091">
              <w:marLeft w:val="0"/>
              <w:marRight w:val="0"/>
              <w:marTop w:val="0"/>
              <w:marBottom w:val="0"/>
              <w:divBdr>
                <w:top w:val="none" w:sz="0" w:space="0" w:color="auto"/>
                <w:left w:val="none" w:sz="0" w:space="0" w:color="auto"/>
                <w:bottom w:val="none" w:sz="0" w:space="0" w:color="auto"/>
                <w:right w:val="none" w:sz="0" w:space="0" w:color="auto"/>
              </w:divBdr>
            </w:div>
          </w:divsChild>
        </w:div>
        <w:div w:id="1807576728">
          <w:marLeft w:val="0"/>
          <w:marRight w:val="0"/>
          <w:marTop w:val="120"/>
          <w:marBottom w:val="60"/>
          <w:divBdr>
            <w:top w:val="none" w:sz="0" w:space="0" w:color="auto"/>
            <w:left w:val="none" w:sz="0" w:space="0" w:color="auto"/>
            <w:bottom w:val="none" w:sz="0" w:space="0" w:color="auto"/>
            <w:right w:val="none" w:sz="0" w:space="0" w:color="auto"/>
          </w:divBdr>
          <w:divsChild>
            <w:div w:id="1018854321">
              <w:marLeft w:val="0"/>
              <w:marRight w:val="0"/>
              <w:marTop w:val="0"/>
              <w:marBottom w:val="0"/>
              <w:divBdr>
                <w:top w:val="none" w:sz="0" w:space="0" w:color="auto"/>
                <w:left w:val="none" w:sz="0" w:space="0" w:color="auto"/>
                <w:bottom w:val="none" w:sz="0" w:space="0" w:color="auto"/>
                <w:right w:val="none" w:sz="0" w:space="0" w:color="auto"/>
              </w:divBdr>
            </w:div>
          </w:divsChild>
        </w:div>
        <w:div w:id="847018404">
          <w:marLeft w:val="0"/>
          <w:marRight w:val="0"/>
          <w:marTop w:val="120"/>
          <w:marBottom w:val="60"/>
          <w:divBdr>
            <w:top w:val="none" w:sz="0" w:space="0" w:color="auto"/>
            <w:left w:val="none" w:sz="0" w:space="0" w:color="auto"/>
            <w:bottom w:val="none" w:sz="0" w:space="0" w:color="auto"/>
            <w:right w:val="none" w:sz="0" w:space="0" w:color="auto"/>
          </w:divBdr>
          <w:divsChild>
            <w:div w:id="1568110208">
              <w:marLeft w:val="0"/>
              <w:marRight w:val="0"/>
              <w:marTop w:val="0"/>
              <w:marBottom w:val="0"/>
              <w:divBdr>
                <w:top w:val="none" w:sz="0" w:space="0" w:color="auto"/>
                <w:left w:val="none" w:sz="0" w:space="0" w:color="auto"/>
                <w:bottom w:val="none" w:sz="0" w:space="0" w:color="auto"/>
                <w:right w:val="none" w:sz="0" w:space="0" w:color="auto"/>
              </w:divBdr>
            </w:div>
          </w:divsChild>
        </w:div>
        <w:div w:id="585461056">
          <w:marLeft w:val="0"/>
          <w:marRight w:val="0"/>
          <w:marTop w:val="120"/>
          <w:marBottom w:val="60"/>
          <w:divBdr>
            <w:top w:val="none" w:sz="0" w:space="0" w:color="auto"/>
            <w:left w:val="none" w:sz="0" w:space="0" w:color="auto"/>
            <w:bottom w:val="none" w:sz="0" w:space="0" w:color="auto"/>
            <w:right w:val="none" w:sz="0" w:space="0" w:color="auto"/>
          </w:divBdr>
          <w:divsChild>
            <w:div w:id="1608852707">
              <w:marLeft w:val="0"/>
              <w:marRight w:val="0"/>
              <w:marTop w:val="0"/>
              <w:marBottom w:val="0"/>
              <w:divBdr>
                <w:top w:val="none" w:sz="0" w:space="0" w:color="auto"/>
                <w:left w:val="none" w:sz="0" w:space="0" w:color="auto"/>
                <w:bottom w:val="none" w:sz="0" w:space="0" w:color="auto"/>
                <w:right w:val="none" w:sz="0" w:space="0" w:color="auto"/>
              </w:divBdr>
            </w:div>
          </w:divsChild>
        </w:div>
        <w:div w:id="1949389103">
          <w:marLeft w:val="0"/>
          <w:marRight w:val="0"/>
          <w:marTop w:val="240"/>
          <w:marBottom w:val="0"/>
          <w:divBdr>
            <w:top w:val="none" w:sz="0" w:space="0" w:color="auto"/>
            <w:left w:val="none" w:sz="0" w:space="0" w:color="auto"/>
            <w:bottom w:val="none" w:sz="0" w:space="0" w:color="auto"/>
            <w:right w:val="none" w:sz="0" w:space="0" w:color="auto"/>
          </w:divBdr>
        </w:div>
      </w:divsChild>
    </w:div>
  </w:divs>
  <w:encoding w:val="unicode"/>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1344</Words>
  <Characters>7661</Characters>
  <Application>Microsoft Office Word</Application>
  <DocSecurity>4</DocSecurity>
  <Lines>63</Lines>
  <Paragraphs>17</Paragraphs>
  <ScaleCrop>false</ScaleCrop>
  <Company/>
  <LinksUpToDate>false</LinksUpToDate>
  <CharactersWithSpaces>8988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환경기술인 보유 자격기준 및 법적 근거</dc:title>
  <dc:subject/>
  <dc:creator>GWANGSIK JO</dc:creator>
  <cp:keywords/>
  <dc:description/>
  <cp:lastModifiedBy>GWANGSIK JO</cp:lastModifiedBy>
  <cp:revision>2</cp:revision>
  <dcterms:created xsi:type="dcterms:W3CDTF">2026-07-31T02:26:00Z</dcterms:created>
  <dcterms:modified xsi:type="dcterms:W3CDTF">2026-07-31T02:26:00Z</dcterms:modified>
</cp:coreProperties>
</file>