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 반려, 행정청 재량은 어디까지일까요?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2023두35661 (2023.07.27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폐기물처리사업계획서를 반려·부적합 통보할 때의 재량 범위와 취소소송에서의 증명책임이 문제된 사건입니다. 대법원은 적합 여부 판단에 행정청의 광범위한 재량을 인정했습니다.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폐기물처리사업계획서 적합 여부는 행정청이 자유롭게 판단할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생활환경·자연환경 영향을 두루 검토하는 것으로 행정청에 광범위한 재량이 인정되며, 장래의 불확실한 상황 예측은 폭넓게 존중됩니다.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반려처분이 위법하다는 점은 누가 증명해야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처분을 다투는 원고가 재량 일탈·남용을 증명해야 하며, 처분서가 간략하면 행정청이 소송에서 구체적 사유를 밝히고 원고가 이를 반박해야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2023두35661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피고가 반려처분서에 처분사유를 ‘폐기물관리법 제25조 제7항 및 이 사건 지침 제3조에 따른 주민 건강 및 주변 환경 영향 여부를 확인하기 위한 주민동의서 미제출’이라고만 기재하였으나, 이 사건 소송과정에서 ① 비산먼지나 그 밖의 오염물질이 가까운 거리에 있는 주민생활에 영향을 줄 우려가 있고, ② 「소음·진동관리법 시행규칙」 제2조의2 [별표 1]에 의해 소음·진동배출시설로 규정된 분쇄시설을 운영할 때 소음·진동 발생이 우려되며, ③ 화재 사례가 빈번한 폐합성수지류 보관 및 처리 중 화재 발생 시 산불로의 확산이 우려되고, ④ 연간 14,400t의 폐기물 반입과 9,000t의 제품 출하를 위해 대형트럭이 빈번하게 출입하여 인근 지역의 교통 위험을 증가시키며,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이 사건 폐기물처리사업계획서에 의하면, 원고가 운영하려는 폐기물처리시설에는 1일 약 48t의 폐합성수지류 폐기물이 운반되는데, 그 폐기물처리시설에서는 이를 선별하고 분쇄하여 고형연료제품(비성형)을 1일 약 12t, 중간가공 폐기물을 1일 약 18t씩 생산하겠다는 것인바, 이와 같은 폐기물 처리과정에서는 소음, 분진, 진동이 발생하고, 폐기물과 제품 운반과정에서도 비산먼지 및 매연으로 인한 대기오염이 발생할 수 있을 것으로 보인다. 그런데 이 사건 폐기물처리사업계획서에 주변 환경에 대한 영향을 방지하기 위한 시설로서 구체적으로 기재되어 있는 것은 선별·분쇄과정에서 발생하는 비산먼지를 방지하기 위한 여과집진시설 1대뿐이다. 따라서 그것만으로는 폐기물처리시설로 인하여 발생할 수 있는 환경상의 악영향을 방지하는 것이 불가능하다고 본 피고의 판단이 불합리하다고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원고는 위 폐기물처리시설로 매일 약 48t의 폐기물을 운반하고, 폐기물처리시설에서 약 30t의 가공된 제품을 출하할 예정이다.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4) 환경이 오염되면 원상회복이 거의 불가능한 경우가 많아 사후적 규제만으로 환경오염으로 인한 피해를 회복하는 데 한계가 있다. 환경이 심각하게 오염될 우려가 있는 경우에는 이를 미리 방지하는 것이 중요한데, 현재 원고가 제출한 증거만으로는 ‘주민들의 건강이나 주변 환경에 영향을 미칠 우려’를 처분사유로 하는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따라서 원심으로서는 단순히 피고가 보완서류 미이행(주민동의서 미제출)을 이유로 반려처분을 하였다는 전제에서 그 반려처분에 재량권 일탈·남용의 위법이 있다고 단정할 것이 아니라, 원고로 하여금 폐기물처리시설 예정지의 자연환경, 기반시설과 인근의 주거시설, 상업시설, 산업시설, 근린생활시설 등의 위치, 규모 및 현황을 확인할 수 있는 자료 및 원고가 운영할 폐기물처리시설이 주민들의 건강과 주변 환경에 어떠한 영향을 주는지에 관한 주장 및 자료를 제출하게 하여 그 폐기물처리시설로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그럼에도 원심은 그에 관한 조치를 취하거나 심리를 하지 않고, 곧바로 피고의 반려처분에 재량권을 일탈·남용한 위법이 있다고 판단하였다.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폐기물관리법 제1조, 제25조 제1항, 제2항 제4호, 환경정책기본법 제12조 제1항, 제13조, 행정소송법 제27조 / [2] 행정소송법 제26조[증명책임], 제27조, 폐기물관리법 제25조 제1항, 제2항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https://www.law.go.kr/판례/(2023두35661)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#2023두35661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