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개선을 일찍 끝냈어도 조정신청을 안 하면 배출부과금은 줄지 않습니다. (2009두14705)</w:t>
      </w:r>
    </w:p>
    <w:p>
      <w:pPr>
        <w:autoSpaceDN w:val="0"/>
        <w:autoSpaceDE w:val="0"/>
        <w:pStyle w:val="law1"/>
        <w:spacing w:after="160"/>
      </w:pPr>
      <w:r>
        <w:rPr>
          <w:rFonts w:ascii="맑은 고딕" w:hAnsi="맑은 고딕" w:eastAsia="맑은 고딕" w:cs="맑은 고딕"/>
          <w:color w:val="000000"/>
        </w:rPr>
        <w:t>대법원 2009두14705 (2009.12.10 선고)</w:t>
      </w:r>
    </w:p>
    <w:p>
      <w:pPr>
        <w:autoSpaceDN w:val="0"/>
        <w:autoSpaceDE w:val="0"/>
        <w:spacing w:after="120"/>
      </w:pPr>
      <w:r>
        <w:rPr>
          <w:rFonts w:ascii="맑은 고딕" w:hAnsi="맑은 고딕" w:eastAsia="맑은 고딕" w:cs="맑은 고딕"/>
          <w:color w:val="000000"/>
        </w:rPr>
        <w:t>○ 개선명령을 받은 사업자가 이행완료예정일보다 일찍 개선을 마쳤는데도 이행보고를 늦게 한 경우, 배출부과금의 배출기간을 언제까지로 볼 것인지가 문제된 사건입니다. 대법원은 사업자가 시행령이 정한 조정절차를 밟지 않은 이상 법령이 정한 배출기간의 종기를 기준으로 부과한 처분이 적법하다고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배출부과금의 배출기간은 언제부터 언제까지인가요?</w:t>
            </w:r>
          </w:p>
          <w:p>
            <w:pPr>
              <w:autoSpaceDN w:val="0"/>
              <w:autoSpaceDE w:val="0"/>
            </w:pPr>
            <w:r>
              <w:rPr>
                <w:rFonts w:ascii="맑은 고딕" w:hAnsi="맑은 고딕" w:eastAsia="맑은 고딕" w:cs="맑은 고딕"/>
                <w:color w:val="000000"/>
                <w:sz w:val="19"/>
              </w:rPr>
              <w:t>A. 오염물질이 배출되기 시작한 날(알 수 없으면 오염물질 채취일)부터 개선명령의 이행완료 예정일까지이고, 예정일 전에 이행이 완료되면 개선완료일 또는 명령이행 보고일까지로 조정됩니다.</w:t>
            </w:r>
          </w:p>
          <w:p>
            <w:pPr>
              <w:autoSpaceDN w:val="0"/>
              <w:autoSpaceDE w:val="0"/>
            </w:pPr>
          </w:p>
          <w:p>
            <w:pPr>
              <w:autoSpaceDN w:val="0"/>
              <w:autoSpaceDE w:val="0"/>
            </w:pPr>
            <w:r>
              <w:rPr>
                <w:rFonts w:ascii="맑은 고딕" w:hAnsi="맑은 고딕" w:eastAsia="맑은 고딕" w:cs="맑은 고딕"/>
                <w:b/>
                <w:color w:val="000000"/>
                <w:sz w:val="19"/>
              </w:rPr>
              <w:t>Q. 실제로는 예정일보다 한 달 먼저 공사를 끝냈습니다. 그만큼 부과금이 줄어드나요?</w:t>
            </w:r>
          </w:p>
          <w:p>
            <w:pPr>
              <w:autoSpaceDN w:val="0"/>
              <w:autoSpaceDE w:val="0"/>
            </w:pPr>
            <w:r>
              <w:rPr>
                <w:rFonts w:ascii="맑은 고딕" w:hAnsi="맑은 고딕" w:eastAsia="맑은 고딕" w:cs="맑은 고딕"/>
                <w:color w:val="000000"/>
                <w:sz w:val="19"/>
              </w:rPr>
              <w:t>A. 자동으로 줄지 않습니다. 시행령이 정한 조정사유를 들어 필요한 절차를 밟지 않은 이상, 당초 측정된 배출량에 법령상 배출기간을 곱하여 산정합니다.</w:t>
            </w:r>
          </w:p>
          <w:p>
            <w:pPr>
              <w:autoSpaceDN w:val="0"/>
              <w:autoSpaceDE w:val="0"/>
            </w:pPr>
          </w:p>
          <w:p>
            <w:pPr>
              <w:autoSpaceDN w:val="0"/>
              <w:autoSpaceDE w:val="0"/>
            </w:pPr>
            <w:r>
              <w:rPr>
                <w:rFonts w:ascii="맑은 고딕" w:hAnsi="맑은 고딕" w:eastAsia="맑은 고딕" w:cs="맑은 고딕"/>
                <w:b/>
                <w:color w:val="000000"/>
                <w:sz w:val="19"/>
              </w:rPr>
              <w:t>Q. 법원이 ‘사실상 개선작업 완료일’을 인정해 줄 수는 없나요?</w:t>
            </w:r>
          </w:p>
          <w:p>
            <w:pPr>
              <w:autoSpaceDN w:val="0"/>
              <w:autoSpaceDE w:val="0"/>
            </w:pPr>
            <w:r>
              <w:rPr>
                <w:rFonts w:ascii="맑은 고딕" w:hAnsi="맑은 고딕" w:eastAsia="맑은 고딕" w:cs="맑은 고딕"/>
                <w:color w:val="000000"/>
                <w:sz w:val="19"/>
              </w:rPr>
              <w:t>A. 대법원은 그런 사정들만으로 법령이 정한 배출기간의 종기를 달리 볼 수 없다고 보았습니다. 개선명령의 이행은 행정청의 공식적인 이행완료확인으로 종결됩니다.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2009두14705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2009.12.10</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주식회사(자동차부품 제조업) · 피고 인천광역시장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(초과부과금부과처분취소)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2008누23513 (2009. 7. 14.)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중 피고 패소 부분 파기환송 · 나머지 상고기각</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자동차 부품 등 제조업체로서 사업장 내에 대기오염물질의 배출 및 방지를 위한 이 사건 집진시설을 설치·운영하여 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 산하 보건환경연구원의 2007. 7. 27. 대기오염도 검사 결과, 먼지 배출허용기준 100㎎/S㎥을 훨씬 초과하는 2,879.3㎎/S㎥의 먼지가 검출되었다.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이에 피고는 2007. 8. 1. 개선명령을 하였고, 원고는 2007. 10. 31.까지 집진시설을 개선하겠다는 개선계획서를 제출한 다음 2007. 10. 31. 개선완료보고를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피고는 2007. 11. 2. 개선이행상태를 확인한 후, 배출기간을 오염물질 채취일인 2007. 7. 27.부터 개선완료보고일인 2007. 10. 31.까지(휴무일 공제)로 하여 총 85일에 대한 초과배출부과금 1,303,020,520원을 부과하였다.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원고는 실제로는 2007. 9.경 개선작업을 마쳤다고 주장하며 처분의 취소를 구하였고, 원심은 보수공사 업체가 공사대금 지급청구를 한 2007. 9. 30.경 사실상 개선작업이 완료되었다고 보아 그 이후 부분의 부과처분을 취소하였다.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허용기준 초과 오염물질의 배출에 따른 개선명령을 받고 이행을 완료한 사업자에 대한 배출부과금을 산정할 때, 사업자가 시행령이 정한 조정절차를 밟지 않았음에도 사실상 개선작업이 완료된 날을 배출기간의 종기로 볼 수 있는지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개선명령 이행보고일을 원칙적인 배출기간의 종기로 보되, 이행완료보고만을 늦게 하였음이 증거에 의해 명백히 인정되는 등 특별한 사정이 있는 경우에는 사실상 개선작업을 완료한 날을 종기로 볼 수 있다고 전제하고, 보수공사가 소규모인 점 등을 종합하여 2007. 9. 30.경 사실상 개선작업이 완료된 것으로 보아 그 이후 부분의 부과처분을 취소하였다.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배출부과금 산정의 기준이 되는 배출허용기준 초과 배출량은 사업자가 조업에 제공하기 위하여 실제로 가동하는 배출시설로 인하여 배출되는 오염물질의 양을 법령에 정한 방법을 토대로 산정하는 것이므로, 행정청은 가능한 한 객관적 사실관계에 입각하여 이를 산정하여야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그러나 사업장에서의 일정 기간에 걸친 오염물질의 실제 배출량은 시기와 종기는 물론 그 기간 중에도 늘 같을 수 없어 정확한 측정과 산정이 현실적으로 불가능한 반면, 위반행위의 적발이 어렵고 초과 배출로 훼손된 환경의 원상회복은 쉽지 아니하므로, 초과 배출량 및 배출부과금의 산정방법과 기준은 법령이 정하는 일정한 기준에 따라 이루어질 수밖에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 산정방법과 기준은 전문적·과학적인 판단과 탄력적인 규율이 요구되는 영역이어서 하위 법령으로의 위임의 필요성이 인정되고, 시행령이 조기 이행 등에 따른 배출부과금의 조정절차까지 마련하여 사업자가 불측·부당한 손해를 입지 않도록 배려하고 있으므로 포괄위임입법 금지원칙에 위배되지도 않는다.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위와 같은 법령의 취지 및 그 규제대상인 오염물질 초과 배출량과 부과금 산정의 특성에 비추어, 개선명령을 받고 이행을 완료한 사업자에 대한 배출부과금의 산정은 사업자가 시행령에서 정한 조정사유의 발생사실을 들어 그에 필요한 절차를 밟지 아니한 이상, 당초 측정된 배출량에 시행령의 규정에 따른 배출기간을 곱하여 산정하여야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원심이 배출기간의 종기를 달리 보아야 하는 특별한 사정으로 든 점들은 사업자가 제출하는 자료의 신빙성을 전제로 구체적 사실인정 절차를 거쳐야만 확인이 가능한 사항이거나, 개선명령의 이행이 배출시설 자체에 대한 물리적 보수공사뿐 아니라 초과배출의 다른 원인관계 규명·보완 등 절차를 모두 거친 후 행정청의 공식적인 이행완료확인으로 종결된다는 사정을 감안하지 아니한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그럼에도 원심이 일부 부수적인 사정들을 들어 법령의 규정에 따른 배출기간 및 초과 배출량의 산정이 위법하다고 보아 부과처분의 일부 취소를 명한 데에는 배출부과금 산정에 관한 법리를 오해한 위법이 있다.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b/>
          <w:color w:val="000000"/>
          <w:u w:val="single"/>
        </w:rPr>
        <w:t>① 구 대기환경보전법 제19조 등 배출부과금에 관한 법령의 취지 및 그 규제대상인 오염물질 초과 배출량과 그 부과금 산정의 특성에 비추어, 허용기준 초과 오염물질의 배출에 따른 개선명령을 받고 이행을 완료한 사업자에 대한 배출부과금의 산정은 사업자가 구 대기환경보전법 시행령 제28조 제1항에서 정한 조정사유의 발생사실을 들어 그에 필요한 절차를 밟지 아니한 이상 당초 측정된 배출량에 위 시행령의 규정에 따른 배출기간을 곱하여 배출부과금을 산정하여야 하는 것이고, 그와 같이 산정된 배출부과금의 부과처분이 구 대기환경보전법 제19조 제2항의 규정에 어긋난다고 할 수 없다.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w:t>
            </w:r>
          </w:p>
        </w:tc>
        <w:tc>
          <w:tcPr>
            <w:tcW w:type="pct" w:w="3500"/>
          </w:tcPr>
          <w:p>
            <w:pPr>
              <w:autoSpaceDN w:val="0"/>
              <w:autoSpaceDE w:val="0"/>
            </w:pPr>
            <w:r>
              <w:rPr>
                <w:rFonts w:ascii="맑은 고딕" w:hAnsi="맑은 고딕" w:eastAsia="맑은 고딕" w:cs="맑은 고딕"/>
                <w:color w:val="000000"/>
                <w:sz w:val="19"/>
              </w:rPr>
              <w:t>기후에너지환경부장관 또는 시·도지사는 조업 중인 배출시설에서 나오는 오염물질의 정도가 배출허용기준을 초과한다고 인정하면 기간을 정하여 사업자에게 그 오염물질의 정도가 배출허용기준 이하로 내려가도록 필요한 조치를 취할 것을 명할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제1항·제2항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제19조)</w:t>
            </w:r>
          </w:p>
        </w:tc>
        <w:tc>
          <w:tcPr>
            <w:tcW w:type="pct" w:w="3500"/>
          </w:tcPr>
          <w:p>
            <w:pPr>
              <w:autoSpaceDN w:val="0"/>
              <w:autoSpaceDE w:val="0"/>
            </w:pPr>
            <w:r>
              <w:rPr>
                <w:rFonts w:ascii="맑은 고딕" w:hAnsi="맑은 고딕" w:eastAsia="맑은 고딕" w:cs="맑은 고딕"/>
                <w:color w:val="000000"/>
                <w:sz w:val="19"/>
              </w:rPr>
              <w:t>① 대기오염물질을 배출하는 사업자 등에 대하여 배출부과금을 부과·징수한다.</w:t>
            </w:r>
            <w:r>
              <w:rPr>
                <w:rFonts w:ascii="맑은 고딕" w:hAnsi="맑은 고딕" w:eastAsia="맑은 고딕" w:cs="맑은 고딕"/>
                <w:color w:val="000000"/>
                <w:sz w:val="19"/>
              </w:rPr>
              <w:br/>
            </w:r>
            <w:r>
              <w:rPr>
                <w:rFonts w:ascii="맑은 고딕" w:hAnsi="맑은 고딕" w:eastAsia="맑은 고딕" w:cs="맑은 고딕"/>
                <w:color w:val="000000"/>
                <w:sz w:val="19"/>
              </w:rPr>
              <w:t>② 배출부과금은 기본부과금과 초과부과금으로 구분하여 부과한다.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 제2호</w:t>
            </w:r>
          </w:p>
        </w:tc>
        <w:tc>
          <w:tcPr>
            <w:tcW w:type="pct" w:w="3500"/>
          </w:tcPr>
          <w:p>
            <w:pPr>
              <w:autoSpaceDN w:val="0"/>
              <w:autoSpaceDE w:val="0"/>
            </w:pPr>
            <w:r>
              <w:rPr>
                <w:rFonts w:ascii="맑은 고딕" w:hAnsi="맑은 고딕" w:eastAsia="맑은 고딕" w:cs="맑은 고딕"/>
                <w:color w:val="000000"/>
                <w:sz w:val="19"/>
              </w:rPr>
              <w:t>개선명령 등을 받은 경우의 배출기간은 오염물질이 초과 배출되기 시작한 날(알 수 없는 경우에는 배출허용기준 초과 여부 확인을 위한 오염물질 채취일)부터 개선명령 등의 이행완료 예정일까지의 기간으로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제34조 제1항 제1호</w:t>
            </w:r>
          </w:p>
        </w:tc>
        <w:tc>
          <w:tcPr>
            <w:tcW w:type="pct" w:w="3500"/>
          </w:tcPr>
          <w:p>
            <w:pPr>
              <w:autoSpaceDN w:val="0"/>
              <w:autoSpaceDE w:val="0"/>
            </w:pPr>
            <w:r>
              <w:rPr>
                <w:rFonts w:ascii="맑은 고딕" w:hAnsi="맑은 고딕" w:eastAsia="맑은 고딕" w:cs="맑은 고딕"/>
                <w:color w:val="000000"/>
                <w:sz w:val="19"/>
              </w:rPr>
              <w:t>개선기간 만료일 또는 명령이행 완료예정일까지 개선명령 등을 이행하였거나 이행하지 아니하여 초과부과금 산정의 기초가 되는 배출기간이 달라진 경우는 부과금의 조정사유가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제34조 제2항</w:t>
            </w:r>
          </w:p>
        </w:tc>
        <w:tc>
          <w:tcPr>
            <w:tcW w:type="pct" w:w="3500"/>
          </w:tcPr>
          <w:p>
            <w:pPr>
              <w:autoSpaceDN w:val="0"/>
              <w:autoSpaceDE w:val="0"/>
            </w:pPr>
            <w:r>
              <w:rPr>
                <w:rFonts w:ascii="맑은 고딕" w:hAnsi="맑은 고딕" w:eastAsia="맑은 고딕" w:cs="맑은 고딕"/>
                <w:color w:val="000000"/>
                <w:sz w:val="19"/>
              </w:rPr>
              <w:t>위 조정사유로 초과부과금을 조정하는 경우에는 기후에너지환경부령으로 정하는 개선완료일이나 명령 이행의 보고일을 배출기간으로 하여 초과부과금을 산정한다.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https://www.law.go.kr/판례/(2009두14705)</w:t>
      </w:r>
    </w:p>
    <w:p>
      <w:pPr>
        <w:autoSpaceDN w:val="0"/>
        <w:autoSpaceDE w:val="0"/>
        <w:spacing w:before="80"/>
      </w:pPr>
      <w:r>
        <w:rPr>
          <w:rFonts w:ascii="맑은 고딕" w:hAnsi="맑은 고딕" w:eastAsia="맑은 고딕" w:cs="맑은 고딕"/>
          <w:color w:val="000000"/>
          <w:sz w:val="18"/>
        </w:rPr>
        <w:t>태그  #대기환경보전법 #배출부과금 #초과부과금 #배출기간 #개선명령 #부과금조정 #행정판례 #대법원판례 #2009년판례 #2009두14705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