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대기배출시설 설치허가도 중대한 공익상 필요가 있으면 거부할 수 있습니다. (2012두22799)</w:t>
      </w:r>
    </w:p>
    <w:p>
      <w:pPr>
        <w:autoSpaceDN w:val="0"/>
        <w:autoSpaceDE w:val="0"/>
        <w:pStyle w:val="law1"/>
        <w:spacing w:after="160"/>
      </w:pPr>
      <w:r>
        <w:rPr>
          <w:rFonts w:ascii="맑은 고딕" w:hAnsi="맑은 고딕" w:eastAsia="맑은 고딕" w:cs="맑은 고딕"/>
          <w:color w:val="000000"/>
        </w:rPr>
        <w:t>대법원 2012두22799 (2013.05.09 선고)</w:t>
      </w:r>
    </w:p>
    <w:p>
      <w:pPr>
        <w:autoSpaceDN w:val="0"/>
        <w:autoSpaceDE w:val="0"/>
        <w:spacing w:after="120"/>
      </w:pPr>
      <w:r>
        <w:rPr>
          <w:rFonts w:ascii="맑은 고딕" w:hAnsi="맑은 고딕" w:eastAsia="맑은 고딕" w:cs="맑은 고딕"/>
          <w:color w:val="000000"/>
        </w:rPr>
        <w:t>○ 대기배출시설 설치허가 신청이 법이 정한 허가기준에 맞고 설치제한사유에도 해당하지 않으면 행정청이 반드시 허가해야 하는지가 문제된 사건입니다. 대법원은 원칙적으로는 허가하여야 하지만, 시행령이 정한 제한사유에 준하는 사유로서 중대한 공익상의 필요가 있을 때에는 허가를 거부할 수 있다고 보았습니다. 함께 수도권 총량관리사업장 설치허가는 재량행위라고 판단하였습니다.</w:t>
      </w: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대기배출시설 설치허가는 기속행위인가요, 재량행위인가요?</w:t>
            </w:r>
          </w:p>
          <w:p>
            <w:pPr>
              <w:autoSpaceDN w:val="0"/>
              <w:autoSpaceDE w:val="0"/>
            </w:pPr>
            <w:r>
              <w:rPr>
                <w:rFonts w:ascii="맑은 고딕" w:hAnsi="맑은 고딕" w:eastAsia="맑은 고딕" w:cs="맑은 고딕"/>
                <w:color w:val="000000"/>
                <w:sz w:val="19"/>
              </w:rPr>
              <w:t>A. 원칙은 기속에 가깝습니다. 허가기준(법 제23조 제7항)에 맞고 설치제한사유(법 제23조 제8항, 시행령 제12조)에 해당하지 않으면 원칙적으로 허가하여야 합니다.</w:t>
            </w:r>
          </w:p>
          <w:p>
            <w:pPr>
              <w:autoSpaceDN w:val="0"/>
              <w:autoSpaceDE w:val="0"/>
            </w:pPr>
          </w:p>
          <w:p>
            <w:pPr>
              <w:autoSpaceDN w:val="0"/>
              <w:autoSpaceDE w:val="0"/>
            </w:pPr>
            <w:r>
              <w:rPr>
                <w:rFonts w:ascii="맑은 고딕" w:hAnsi="맑은 고딕" w:eastAsia="맑은 고딕" w:cs="맑은 고딕"/>
                <w:b/>
                <w:color w:val="000000"/>
                <w:sz w:val="19"/>
              </w:rPr>
              <w:t>Q. 그러면 시행령 제12조의 제한사유에 해당하지 않으면 무조건 허가를 받을 수 있나요?</w:t>
            </w:r>
          </w:p>
          <w:p>
            <w:pPr>
              <w:autoSpaceDN w:val="0"/>
              <w:autoSpaceDE w:val="0"/>
            </w:pPr>
            <w:r>
              <w:rPr>
                <w:rFonts w:ascii="맑은 고딕" w:hAnsi="맑은 고딕" w:eastAsia="맑은 고딕" w:cs="맑은 고딕"/>
                <w:color w:val="000000"/>
                <w:sz w:val="19"/>
              </w:rPr>
              <w:t>A. 아닙니다. 시행령 제12조 각 호에 준하는 사유로서 환경기준 유지가 곤란하거나 주민의 건강·재산, 동식물의 생육에 심각한 위해를 끼칠 우려가 있는 등 중대한 공익상의 필요가 있으면 거부할 수 있습니다.</w:t>
            </w:r>
          </w:p>
          <w:p>
            <w:pPr>
              <w:autoSpaceDN w:val="0"/>
              <w:autoSpaceDE w:val="0"/>
            </w:pPr>
          </w:p>
          <w:p>
            <w:pPr>
              <w:autoSpaceDN w:val="0"/>
              <w:autoSpaceDE w:val="0"/>
            </w:pPr>
            <w:r>
              <w:rPr>
                <w:rFonts w:ascii="맑은 고딕" w:hAnsi="맑은 고딕" w:eastAsia="맑은 고딕" w:cs="맑은 고딕"/>
                <w:b/>
                <w:color w:val="000000"/>
                <w:sz w:val="19"/>
              </w:rPr>
              <w:t>Q. 수도권 대기관리권역의 총량관리사업장 설치허가도 마찬가지인가요?</w:t>
            </w:r>
          </w:p>
          <w:p>
            <w:pPr>
              <w:autoSpaceDN w:val="0"/>
              <w:autoSpaceDE w:val="0"/>
            </w:pPr>
            <w:r>
              <w:rPr>
                <w:rFonts w:ascii="맑은 고딕" w:hAnsi="맑은 고딕" w:eastAsia="맑은 고딕" w:cs="맑은 고딕"/>
                <w:color w:val="000000"/>
                <w:sz w:val="19"/>
              </w:rPr>
              <w:t>A. 다릅니다. 총량관리사업장 설치허가·변경허가는 총량관리대상 오염물질을 일정량 넘겨 배출할 수 있는 특정한 권리를 설정해 주는 행위여서, 처분 여부와 내용의 결정이 행정청의 재량에 속합니다.</w:t>
            </w:r>
          </w:p>
        </w:tc>
      </w:tr>
    </w:tbl>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2012두22799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2013.05.09</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경기도지사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(대기배출시설설치 불허가처분등 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2012누3493 (2012. 9. 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 · 나머지 상고기각</w:t>
            </w:r>
          </w:p>
        </w:tc>
      </w:tr>
    </w:tbl>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경기 이천시에 열병합발전소를 설치하기 위하여 피고에게 구 수도권 대기환경개선에 관한 특별법에 따른 대기오염물질 총량관리사업장 설치변경허가와 구 대기환경보전법 제23조에 따른 대기배출시설 설치허가를 신청하였다.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발전소 반경 1km 이내에는 학교와 아파트 단지가 있고, 인근에 이미 제1종 지구단위계획이 수립되어 있으며 부발역사 및 가좌지구에 대한 개발이 예정되어 있어 장래 반경 1km 안의 상주인구가 2만 명 이상이 될 것으로 예상되었다.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또한 이 사건 발전소에서 불과 300m 떨어진 곳에 이천시민에게 먹는 물을 공급하는 상수도사업소가 위치하고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위 각 신청을 모두 거부하는 처분을 하였고, 원고는 그 취소를 구하는 소를 제기하였다.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원심은 총량관리사업장 설치변경허가 거부처분은 적법하다고 보았으나, 대기배출시설 설치허가는 기속행위라는 전제에서 허가제한사유에 해당하지 않는다는 이유로 그 거부처분은 위법하다고 판단하였다.</w:t>
      </w: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구 수도권 대기환경개선에 관한 특별법 제14조 제1항에서 정한 대기오염물질 총량관리사업장 설치의 허가 또는 변경허가가 행정청의 재량에 속하는지 여부와, 배출시설 설치허가 신청이 구 대기환경보전법 제23조 제5항의 허가기준에 부합하고 같은 조 제6항 및 같은 법 시행령 제12조의 허가제한사유에도 해당하지 않는 경우 행정청이 그 허가를 거부할 수 있는지 여부이다.</w:t>
      </w: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총량관리사업장 설치변경허가가 재량행위임을 전제로, 가까운 장래에 상주인구가 2만 명 이상이 될 것으로 예상되는 사정 등을 감안하여 신청을 거부한 처분에 재량권의 일탈·남용이 없다고 보았다. 반면 대기배출시설 설치허가는 기속행위라는 전제 아래, 시행령 제12조가 정한 제한사유에 해당하지 아니한다는 사정만을 들어 그 거부처분이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총량관리사업장 설치변경허가에 관한 원심의 판단은 정당하나, 대기배출시설 설치허가에 관한 원심의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구 수도권대기환경특별법 제14조 제1항에서 정한 대기오염물질 총량관리사업장 설치의 허가 또는 변경허가는, 특정인에게 인구가 밀집되고 대기오염이 심각하다고 인정되는 수도권 대기관리권역에서 총량관리대상 오염물질을 일정량을 초과하여 배출할 수 있는 특정한 권리를 설정하여 주는 행위로서 그 처분의 여부 및 내용의 결정은 행정청의 재량에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한편 배출시설 설치허가와 설치제한에 관한 규정들의 문언과 그 체제·형식에 따르면, 환경부장관은 배출시설 설치허가 신청이 구 대기환경보전법 제23조 제5항에서 정한 허가 기준에 부합하고 같은 조 제6항 및 같은 법 시행령 제12조에서 정한 허가제한사유에 해당하지 아니하는 한 원칙적으로 허가를 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다만 배출시설의 설치는 국민건강이나 환경의 보전에 직접적으로 영향을 미치는 행위라는 점과, 대기오염으로 인한 국민건강이나 환경에 관한 위해를 예방하고 대기환경을 적정하고 지속가능하게 관리·보전하려는 구 대기환경보전법의 목적(제1조) 등을 고려하면, 환경부장관은 같은 법 시행령 제12조 각 호에서 정한 사유에 준하는 사유로서 환경 기준의 유지가 곤란하거나 주민의 건강·재산, 동식물의 생육에 심각한 위해를 끼칠 우려가 있다고 인정되는 등 중대한 공익상의 필요가 있을 때에는 허가를 거부할 수 있다고 보는 것이 타당하다.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이 사건 발전소 반경 1km 이내에 학교와 아파트 단지가 있고 장래 상주인구가 2만 명 이상이 될 것으로 예상되며 300m 거리에 상수도사업소가 있는 사정은, 이 사건 배출시설의 설치로 시행령 제12조 제1호에서 정한 사유에 준하는 정도로 주민의 건강 등에 심각한 위해를 끼칠 우려가 있는 경우에 해당한다고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그럼에도 원심은 배출시설 설치허가가 기속행위에 해당한다는 전제 아래 허가제한사유에 해당하지 아니한다는 사정만을 들어 이 사건 처분이 위법하다고 판단하였으니, 원심판결에는 배출시설 설치허가에 관한 규정의 해석·적용에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이에 원심판결 중 피고 패소 부분을 파기하여 환송하고, 원고의 상고는 기각한다.</w:t>
      </w: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구 수도권 대기환경개선에 관한 특별법 제14조 제1항에서 정한 대기오염물질 총량관리사업장 설치의 허가 또는 변경허가는 특정인에게 인구가 밀집되고 대기오염이 심각하다고 인정되는 수도권 대기관리권역에서 총량관리대상 오염물질을 일정량을 초과하여 배출할 수 있는 특정한 권리를 설정하여 주는 행위로서 그 처분의 여부 및 내용의 결정은 행정청의 재량에 속한다.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배출시설 설치허가와 설치제한에 관한 규정들의 문언과 그 체제·형식에 따르면 환경부장관은 배출시설 설치허가 신청이 구 대기환경보전법 제23조 제5항에서 정한 허가 기준에 부합하고 같은 조 제6항, 같은 법 시행령 제12조에서 정한 허가제한사유에 해당하지 아니하는 한 원칙적으로 허가를 하여야 한다. 다만 배출시설의 설치는 국민건강이나 환경의 보전에 직접적으로 영향을 미치는 행위라는 점과 구 대기환경보전법의 목적(제1조) 등을 고려하면, 환경부장관은 같은 법 시행령 제12조 각 호에서 정한 사유에 준하는 사유로서 환경 기준의 유지가 곤란하거나 주민의 건강·재산, 동식물의 생육에 심각한 위해를 끼칠 우려가 있다고 인정되는 등 중대한 공익상의 필요가 있을 때에는 허가를 거부할 수 있다고 보는 것이 타당하다.</w:t>
      </w: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제7항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제5항)</w:t>
            </w:r>
          </w:p>
        </w:tc>
        <w:tc>
          <w:tcPr>
            <w:tcW w:type="pct" w:w="3500"/>
          </w:tcPr>
          <w:p>
            <w:pPr>
              <w:autoSpaceDN w:val="0"/>
              <w:autoSpaceDE w:val="0"/>
            </w:pPr>
            <w:r>
              <w:rPr>
                <w:rFonts w:ascii="맑은 고딕" w:hAnsi="맑은 고딕" w:eastAsia="맑은 고딕" w:cs="맑은 고딕"/>
                <w:color w:val="000000"/>
                <w:sz w:val="19"/>
              </w:rPr>
              <w:t>제1항과 제2항에 따른 허가 또는 변경허가의 기준은 다음 각 호와 같다.</w:t>
            </w:r>
            <w:r>
              <w:rPr>
                <w:rFonts w:ascii="맑은 고딕" w:hAnsi="맑은 고딕" w:eastAsia="맑은 고딕" w:cs="맑은 고딕"/>
                <w:color w:val="000000"/>
                <w:sz w:val="19"/>
              </w:rPr>
              <w:br/>
            </w:r>
            <w:r>
              <w:rPr>
                <w:rFonts w:ascii="맑은 고딕" w:hAnsi="맑은 고딕" w:eastAsia="맑은 고딕" w:cs="맑은 고딕"/>
                <w:color w:val="000000"/>
                <w:sz w:val="19"/>
              </w:rPr>
              <w:t>1. 배출시설에서 배출되는 오염물질을 배출허용기준 이하로 처리할 수 있을 것</w:t>
            </w:r>
            <w:r>
              <w:rPr>
                <w:rFonts w:ascii="맑은 고딕" w:hAnsi="맑은 고딕" w:eastAsia="맑은 고딕" w:cs="맑은 고딕"/>
                <w:color w:val="000000"/>
                <w:sz w:val="19"/>
              </w:rPr>
              <w:br/>
            </w:r>
            <w:r>
              <w:rPr>
                <w:rFonts w:ascii="맑은 고딕" w:hAnsi="맑은 고딕" w:eastAsia="맑은 고딕" w:cs="맑은 고딕"/>
                <w:color w:val="000000"/>
                <w:sz w:val="19"/>
              </w:rPr>
              <w:t>2. 다른 법률에 따른 배출시설 설치제한에 관한 규정을 위반하지 아니할 것</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제8항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제6항)</w:t>
            </w:r>
          </w:p>
        </w:tc>
        <w:tc>
          <w:tcPr>
            <w:tcW w:type="pct" w:w="3500"/>
          </w:tcPr>
          <w:p>
            <w:pPr>
              <w:autoSpaceDN w:val="0"/>
              <w:autoSpaceDE w:val="0"/>
            </w:pPr>
            <w:r>
              <w:rPr>
                <w:rFonts w:ascii="맑은 고딕" w:hAnsi="맑은 고딕" w:eastAsia="맑은 고딕" w:cs="맑은 고딕"/>
                <w:color w:val="000000"/>
                <w:sz w:val="19"/>
              </w:rPr>
              <w:t>배출시설로부터 나오는 특정대기유해물질이나 특별대책지역의 배출시설로부터 나오는 대기오염물질로 인하여 환경기준의 유지가 곤란하거나 주민의 건강·재산, 동식물의 생육에 심각한 위해를 끼칠 우려가 있다고 인정되면 대통령령으로 정하는 바에 따라 그 배출시설의 설치를 제한할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제1호</w:t>
            </w:r>
          </w:p>
        </w:tc>
        <w:tc>
          <w:tcPr>
            <w:tcW w:type="pct" w:w="3500"/>
          </w:tcPr>
          <w:p>
            <w:pPr>
              <w:autoSpaceDN w:val="0"/>
              <w:autoSpaceDE w:val="0"/>
            </w:pPr>
            <w:r>
              <w:rPr>
                <w:rFonts w:ascii="맑은 고딕" w:hAnsi="맑은 고딕" w:eastAsia="맑은 고딕" w:cs="맑은 고딕"/>
                <w:color w:val="000000"/>
                <w:sz w:val="19"/>
              </w:rPr>
              <w:t>특정대기유해물질이 기후에너지환경부령으로 정하는 기준 이상으로 발생되는 배출시설은 설치허가를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N w:val="0"/>
              <w:autoSpaceDE w:val="0"/>
            </w:pPr>
            <w:r>
              <w:rPr>
                <w:rFonts w:ascii="맑은 고딕" w:hAnsi="맑은 고딕" w:eastAsia="맑은 고딕" w:cs="맑은 고딕"/>
                <w:color w:val="000000"/>
                <w:sz w:val="19"/>
              </w:rPr>
              <w:t>설치를 제한할 수 있는 경우</w:t>
            </w:r>
            <w:r>
              <w:rPr>
                <w:rFonts w:ascii="맑은 고딕" w:hAnsi="맑은 고딕" w:eastAsia="맑은 고딕" w:cs="맑은 고딕"/>
                <w:color w:val="000000"/>
                <w:sz w:val="19"/>
              </w:rPr>
              <w:br/>
            </w:r>
            <w:r>
              <w:rPr>
                <w:rFonts w:ascii="맑은 고딕" w:hAnsi="맑은 고딕" w:eastAsia="맑은 고딕" w:cs="맑은 고딕"/>
                <w:color w:val="000000"/>
                <w:sz w:val="19"/>
              </w:rPr>
              <w:t>1. 배출시설 설치 지점으로부터 반경 1킬로미터 안의 상주 인구가 2만명 이상인 지역으로서 특정대기유해물질 중 한 가지 종류의 물질을 연간 10톤 이상 배출하거나 두 가지 이상의 물질을 연간 25톤 이상 배출하는 시설을 설치하는 경우</w:t>
            </w:r>
            <w:r>
              <w:rPr>
                <w:rFonts w:ascii="맑은 고딕" w:hAnsi="맑은 고딕" w:eastAsia="맑은 고딕" w:cs="맑은 고딕"/>
                <w:color w:val="000000"/>
                <w:sz w:val="19"/>
              </w:rPr>
              <w:br/>
            </w:r>
            <w:r>
              <w:rPr>
                <w:rFonts w:ascii="맑은 고딕" w:hAnsi="맑은 고딕" w:eastAsia="맑은 고딕" w:cs="맑은 고딕"/>
                <w:color w:val="000000"/>
                <w:sz w:val="19"/>
              </w:rPr>
              <w:t>2. 대기오염물질(먼지·황산화물 및 질소산화물만 해당한다)의 발생량 합계가 연간 10톤 이상인 배출시설을 특별대책지역에 설치하는 경우</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대기관리권역의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 제1항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수도권대기환경특별법 제14조 제1항)</w:t>
            </w:r>
          </w:p>
        </w:tc>
        <w:tc>
          <w:tcPr>
            <w:tcW w:type="pct" w:w="3500"/>
          </w:tcPr>
          <w:p>
            <w:pPr>
              <w:autoSpaceDN w:val="0"/>
              <w:autoSpaceDE w:val="0"/>
            </w:pPr>
            <w:r>
              <w:rPr>
                <w:rFonts w:ascii="맑은 고딕" w:hAnsi="맑은 고딕" w:eastAsia="맑은 고딕" w:cs="맑은 고딕"/>
                <w:color w:val="000000"/>
                <w:sz w:val="19"/>
              </w:rPr>
              <w:t>대기관리권역에서 총량관리대상 오염물질을 대통령령으로 정하는 배출량을 초과하여 배출하는 사업장을 설치하거나 이에 해당하는 사업장으로 변경하려는 자는 기후에너지환경부장관으로부터 사업장설치의 허가를 받아야 한다. 허가받은 사항을 변경하는 경우에도 또한 같다.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https://www.law.go.kr/판례/(2012두22799)</w:t>
      </w:r>
    </w:p>
    <w:p>
      <w:pPr>
        <w:autoSpaceDN w:val="0"/>
        <w:autoSpaceDE w:val="0"/>
        <w:spacing w:before="80"/>
      </w:pPr>
      <w:r>
        <w:rPr>
          <w:rFonts w:ascii="맑은 고딕" w:hAnsi="맑은 고딕" w:eastAsia="맑은 고딕" w:cs="맑은 고딕"/>
          <w:color w:val="000000"/>
          <w:sz w:val="18"/>
        </w:rPr>
        <w:t>태그  #대기환경보전법 #대기배출시설 #설치허가 #총량관리사업장 #특정대기유해물질 #행정판례 #대법원판례 #2013년판례 #2012두22799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