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환경오염 우려에 대한 행정청의 예측 판단은 폭넓게 존중됩니다. (2017두71789)</w:t>
      </w:r>
    </w:p>
    <w:p>
      <w:pPr>
        <w:autoSpaceDN w:val="0"/>
        <w:autoSpaceDE w:val="0"/>
        <w:pStyle w:val="law1"/>
        <w:spacing w:after="160"/>
      </w:pPr>
      <w:r>
        <w:rPr>
          <w:rFonts w:ascii="맑은 고딕" w:hAnsi="맑은 고딕" w:eastAsia="맑은 고딕" w:cs="맑은 고딕"/>
          <w:color w:val="000000"/>
        </w:rPr>
        <w:t>대법원 2017두71789 (2018.04.12 선고)</w:t>
      </w:r>
    </w:p>
    <w:p>
      <w:pPr>
        <w:autoSpaceDN w:val="0"/>
        <w:autoSpaceDE w:val="0"/>
        <w:spacing w:after="120"/>
      </w:pPr>
      <w:r>
        <w:rPr>
          <w:rFonts w:ascii="맑은 고딕" w:hAnsi="맑은 고딕" w:eastAsia="맑은 고딕" w:cs="맑은 고딕"/>
          <w:color w:val="000000"/>
        </w:rPr>
        <w:t>○ 비금속광물 분쇄물 생산공장 신설 승인을 분진·소음 등 환경오염 우려를 이유로 거부한 사건입니다. 대법원은 공장설립 승인이 개발행위허가 요건을 갖추지 못하면 이를 이유로 거부할 수 있고, ‘환경오염 발생 우려’와 같이 장래의 불확실한 상황에 대한 예측이 필요한 요건에 관한 행정청의 재량적 판단은 폭넓게 존중되어야 한다고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공장설립 승인 단계에서 개발행위허가 요건까지 심사하나요?</w:t>
            </w:r>
          </w:p>
          <w:p>
            <w:pPr>
              <w:autoSpaceDN w:val="0"/>
              <w:autoSpaceDE w:val="0"/>
            </w:pPr>
            <w:r>
              <w:rPr>
                <w:rFonts w:ascii="맑은 고딕" w:hAnsi="맑은 고딕" w:eastAsia="맑은 고딕" w:cs="맑은 고딕"/>
                <w:color w:val="000000"/>
                <w:sz w:val="19"/>
              </w:rPr>
              <w:t>A. 그렇습니다. 공장설립 등의 승인을 하면 개발행위허가 등이 의제되므로, 개발행위허가 요건을 갖추지 못하면 이를 이유로 승인을 거부할 수 있습니다.</w:t>
            </w:r>
          </w:p>
          <w:p>
            <w:pPr>
              <w:autoSpaceDN w:val="0"/>
              <w:autoSpaceDE w:val="0"/>
            </w:pPr>
          </w:p>
          <w:p>
            <w:pPr>
              <w:autoSpaceDN w:val="0"/>
              <w:autoSpaceDE w:val="0"/>
            </w:pPr>
            <w:r>
              <w:rPr>
                <w:rFonts w:ascii="맑은 고딕" w:hAnsi="맑은 고딕" w:eastAsia="맑은 고딕" w:cs="맑은 고딕"/>
                <w:b/>
                <w:color w:val="000000"/>
                <w:sz w:val="19"/>
              </w:rPr>
              <w:t>Q. ‘환경오염 우려’는 불확정개념인데 법원이 어디까지 심사하나요?</w:t>
            </w:r>
          </w:p>
          <w:p>
            <w:pPr>
              <w:autoSpaceDN w:val="0"/>
              <w:autoSpaceDE w:val="0"/>
            </w:pPr>
            <w:r>
              <w:rPr>
                <w:rFonts w:ascii="맑은 고딕" w:hAnsi="맑은 고딕" w:eastAsia="맑은 고딕" w:cs="맑은 고딕"/>
                <w:color w:val="000000"/>
                <w:sz w:val="19"/>
              </w:rPr>
              <w:t>A. 재량판단의 영역이므로 원칙적으로 재량권의 일탈·남용 여부만을 대상으로 하고, 사실오인과 비례·평등원칙 위반 여부 등이 판단 기준이 됩니다.</w:t>
            </w:r>
          </w:p>
          <w:p>
            <w:pPr>
              <w:autoSpaceDN w:val="0"/>
              <w:autoSpaceDE w:val="0"/>
            </w:pPr>
          </w:p>
          <w:p>
            <w:pPr>
              <w:autoSpaceDN w:val="0"/>
              <w:autoSpaceDE w:val="0"/>
            </w:pPr>
            <w:r>
              <w:rPr>
                <w:rFonts w:ascii="맑은 고딕" w:hAnsi="맑은 고딕" w:eastAsia="맑은 고딕" w:cs="맑은 고딕"/>
                <w:b/>
                <w:color w:val="000000"/>
                <w:sz w:val="19"/>
              </w:rPr>
              <w:t>Q. 사업자가 저감 대책을 제시하면 우려가 해소되나요?</w:t>
            </w:r>
          </w:p>
          <w:p>
            <w:pPr>
              <w:autoSpaceDN w:val="0"/>
              <w:autoSpaceDE w:val="0"/>
            </w:pPr>
            <w:r>
              <w:rPr>
                <w:rFonts w:ascii="맑은 고딕" w:hAnsi="맑은 고딕" w:eastAsia="맑은 고딕" w:cs="맑은 고딕"/>
                <w:color w:val="000000"/>
                <w:sz w:val="19"/>
              </w:rPr>
              <w:t>A. 반드시 그렇지는 않습니다. 신청에 이르게 된 경위, 사업계획의 내용 등에 비추어 저감 대책만으로 우려를 불식시키기에 부족하다고 판단될 수 있습니다.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2017두71789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2018.04.12</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주식회사 ○○○ · 피고 공주시장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(공장신설불승인처분취소)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대전고법 2017누11976 (2017. 11. 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2015. 6. 11. 공주시 의당면의 이 사건 신청지에 비금속광물 분쇄물 생산공장을 설립하기 위한 공장신설 승인신청(공장부지 16,550㎡)을 하였다가 취하하였다.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원고는 2015. 10. 19. 같은 내용으로 2차 신청(공장부지 5,041㎡)을 하였으나, 피고가 소규모 환경영향평가 대상 사업에 해당하므로 금강유역환경청장과 협의할 것을 요구하자 이를 취하하였다.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원고는 2차 신청 취하 다음 날인 2016. 4. 5. 제조시설 규모는 525㎡로 동일하게 유지하되 사업부지 면적, 특히 야적장 면적을 대폭 축소하여 이 사건 신청(공장부지 3,010㎡)을 하였고, 이로써 소규모 환경영향평가 대상 사업에 해당하지 않게 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이 사건 신청지는 가장 가까운 민가와 250m, 집단주거지와 1.2km 떨어진 농촌 지역이고, 자연환경보전법에 따라 생태·자연도 2등급 권역으로 지정되어 있으며, 인근에서 멸종위기 야생동물 2급이자 천연기념물인 붉은배새매가 관찰되었다.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피고는 2016. 8. 25. 환경영향평가 회피 목적의 신청이고 개발행위허가 기준에 적합하지 않다는 등의 사유로 이 사건 신청을 불승인하였다.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원심은 인근 주민들에게 수인한도를 넘는 분진·소음·진동이 발생하거나 환경을 훼손할 우려가 있다고 보기 어렵다는 전제에서 이 사건 처분에 재량권 일탈·남용의 위법이 있다고 판단하였다.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공장설립 등의 승인이 개발행위허가 요건을 갖추지 못한 경우 행정청이 이를 이유로 승인을 거부할 수 있는지 여부와, 환경 훼손·오염을 발생시킬 우려가 있는 개발행위에 대한 허가와 관련하여 행정청의 재량적 판단을 어느 범위에서 존중할 것인지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b/>
          <w:color w:val="000000"/>
          <w:u w:val="single"/>
        </w:rPr>
        <w:t>① 원심의 판단 원심은 이 사건 공장 신설로 인근 주민들에게 수인한도를 넘는 분진, 소음, 진동이 발생하거나 환경을 훼손할 우려가 있다고 보기 어렵다는 전제하에 이 사건 처분에 재량권 일탈·남용의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대법원의 판단 그러나 원심의 판단에는 재량권 일탈·남용에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산업집적법에 따르면 공장설립 등의 승인을 할 때 관계 행정기관의 장과 협의한 사항에 대하여는 국토계획법에 따른 개발행위허가 등을 받은 것으로 의제되고, 시장·군수 또는 구청장은 승인신청이 관계 법령에 적합한지를 검토하여 승인 여부를 결정한다.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개발행위허가는 주변 지역의 토지이용실태와 주변 환경이나 경관과 조화를 이루고, 해당 지역과 그 주변 지역에 대기오염·수질오염·토질오염·소음·진동·분진 등에 의한 환경오염·생태계 파괴·위해 등이 발생할 우려가 없는 경우에만 가능하다.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⑤ 이러한 규정들을 종합하면, 공장설립 등의 승인이 개발행위허가 요건을 갖추지 못한 경우 행정청은 이를 이유로 승인을 거부할 수 있고, 개발행위허가는 허가기준과 금지요건이 불확정개념으로 규정된 부분이 많아 그 요건 해당 여부는 행정청의 재량판단 영역에 속한다. 그에 대한 사법심사는 원칙적으로 재량권의 일탈이나 남용이 있는지 여부만을 대상으로 하고, 사실오인과 비례·평등원칙 위반 여부 등이 판단 기준이 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특히 환경의 훼손이나 오염을 발생시킬 우려가 있는 개발행위에 대한 허가와 관련하여 재량권의 일탈·남용 여부를 심사할 때에는 구체적 지역 상황과 이해관계자들 사이의 권익 균형, 환경권 보호에 관한 각종 규정의 입법 취지 등을 종합하여 신중하게 판단하여야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따라서 ‘환경오염 발생 우려’와 같이 장래에 발생할 불확실한 상황과 파급효과에 대한 예측이 필요한 요건에 관한 행정청의 재량적 판단은, 그 내용이 합리성이 없거나 상반되는 이익과 가치를 대비해 볼 때 형평과 비례의 원칙에 뚜렷하게 배치되지 않는 한 폭넓게 존중되어야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이 사건 신청지가 민가와 250m 떨어진 농촌 지역이고 생태·자연도 2등급 권역인 점, 제조시설 규모는 그대로 둔 채 야적장 면적만 대폭 축소하여 환경영향평가 대상에서 벗어난 점, 축소된 야적장(100㎡)에 1일 생산량(500㎥)을 야적한다는 계획이 매우 이례적인 점 등에 비추어 보면, 원고가 내세우는 저감 대책만으로 환경오염 우려를 불식시키기에 부족하다.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⑨ 그렇다면 분진, 소음 등 환경오염 발생 우려를 이유로 개발행위 허가기준을 충족하지 못하였다고 보아 불승인한 이 사건 처분이 재량권을 일탈·남용하여 위법하다고 단정하기 어렵다.</w:t>
      </w:r>
    </w:p>
    <w:p>
      <w:pPr>
        <w:autoSpaceDN w:val="0"/>
        <w:autoSpaceDE w:val="0"/>
      </w:pPr>
    </w:p>
    <w:p>
      <w:pPr>
        <w:autoSpaceDN w:val="0"/>
        <w:autoSpaceDE w:val="0"/>
        <w:pStyle w:val="2"/>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 제1항</w:t>
            </w:r>
          </w:p>
        </w:tc>
        <w:tc>
          <w:tcPr>
            <w:tcW w:type="pct" w:w="3500"/>
          </w:tcPr>
          <w:p>
            <w:pPr>
              <w:autoSpaceDN w:val="0"/>
              <w:autoSpaceDE w:val="0"/>
            </w:pPr>
            <w:r>
              <w:rPr>
                <w:rFonts w:ascii="맑은 고딕" w:hAnsi="맑은 고딕" w:eastAsia="맑은 고딕" w:cs="맑은 고딕"/>
                <w:color w:val="000000"/>
                <w:sz w:val="19"/>
              </w:rPr>
              <w:t>공장건축면적이 500제곱미터 이상인 공장의 설립 등을 하려는 자는 특별자치시장·시장·군수 또는 구청장의 승인을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제13조의2 제1항 제5호</w:t>
            </w:r>
          </w:p>
        </w:tc>
        <w:tc>
          <w:tcPr>
            <w:tcW w:type="pct" w:w="3500"/>
          </w:tcPr>
          <w:p>
            <w:pPr>
              <w:autoSpaceDN w:val="0"/>
              <w:autoSpaceDE w:val="0"/>
            </w:pPr>
            <w:r>
              <w:rPr>
                <w:rFonts w:ascii="맑은 고딕" w:hAnsi="맑은 고딕" w:eastAsia="맑은 고딕" w:cs="맑은 고딕"/>
                <w:color w:val="000000"/>
                <w:sz w:val="19"/>
              </w:rPr>
              <w:t>공장설립 등의 승인을 할 때 관계 행정기관의 장과 협의한 사항에 대하여는 국토의 계획 및 이용에 관한 법률 제56조 제1항에 따른 개발행위허가 등을 받은 것으로 본다.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제56조 제1항</w:t>
            </w:r>
          </w:p>
        </w:tc>
        <w:tc>
          <w:tcPr>
            <w:tcW w:type="pct" w:w="3500"/>
          </w:tcPr>
          <w:p>
            <w:pPr>
              <w:autoSpaceDN w:val="0"/>
              <w:autoSpaceDE w:val="0"/>
            </w:pPr>
            <w:r>
              <w:rPr>
                <w:rFonts w:ascii="맑은 고딕" w:hAnsi="맑은 고딕" w:eastAsia="맑은 고딕" w:cs="맑은 고딕"/>
                <w:color w:val="000000"/>
                <w:sz w:val="19"/>
              </w:rPr>
              <w:t>건축물의 건축, 공작물의 설치, 토지의 형질 변경 등 개발행위를 하려는 자는 특별시장·광역시장·시장 또는 군수의 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제58조 제1항·제3항</w:t>
            </w:r>
          </w:p>
        </w:tc>
        <w:tc>
          <w:tcPr>
            <w:tcW w:type="pct" w:w="3500"/>
          </w:tcPr>
          <w:p>
            <w:pPr>
              <w:autoSpaceDN w:val="0"/>
              <w:autoSpaceDE w:val="0"/>
            </w:pPr>
            <w:r>
              <w:rPr>
                <w:rFonts w:ascii="맑은 고딕" w:hAnsi="맑은 고딕" w:eastAsia="맑은 고딕" w:cs="맑은 고딕"/>
                <w:color w:val="000000"/>
                <w:sz w:val="19"/>
              </w:rPr>
              <w:t>① 허가권자는 개발행위허가의 신청 내용이 허가기준에 맞는 경우에만 개발행위허가를 하여야 한다.</w:t>
            </w:r>
            <w:r>
              <w:rPr>
                <w:rFonts w:ascii="맑은 고딕" w:hAnsi="맑은 고딕" w:eastAsia="맑은 고딕" w:cs="맑은 고딕"/>
                <w:color w:val="000000"/>
                <w:sz w:val="19"/>
              </w:rPr>
              <w:br/>
            </w:r>
            <w:r>
              <w:rPr>
                <w:rFonts w:ascii="맑은 고딕" w:hAnsi="맑은 고딕" w:eastAsia="맑은 고딕" w:cs="맑은 고딕"/>
                <w:color w:val="000000"/>
                <w:sz w:val="19"/>
              </w:rPr>
              <w:t>③ 허가기준은 지역의 특성, 개발상황, 기반시설의 현황 등을 고려하여 용도지역의 구분에 따라 대통령령으로 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제56조 제1항 [별표 1의2]</w:t>
            </w:r>
          </w:p>
        </w:tc>
        <w:tc>
          <w:tcPr>
            <w:tcW w:type="pct" w:w="3500"/>
          </w:tcPr>
          <w:p>
            <w:pPr>
              <w:autoSpaceDN w:val="0"/>
              <w:autoSpaceDE w:val="0"/>
            </w:pPr>
            <w:r>
              <w:rPr>
                <w:rFonts w:ascii="맑은 고딕" w:hAnsi="맑은 고딕" w:eastAsia="맑은 고딕" w:cs="맑은 고딕"/>
                <w:color w:val="000000"/>
                <w:sz w:val="19"/>
              </w:rPr>
              <w:t>개발행위허가기준으로, 주변 환경이나 경관과 조화를 이루고 해당 지역과 그 주변 지역에 대기오염·수질오염·토질오염·소음·진동·분진 등에 의한 환경오염·생태계 파괴·위해 등이 발생할 우려가 없을 것을 정하고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https://www.law.go.kr/판례/(2017두71789)</w:t>
      </w:r>
    </w:p>
    <w:p>
      <w:pPr>
        <w:autoSpaceDN w:val="0"/>
        <w:autoSpaceDE w:val="0"/>
        <w:spacing w:before="80"/>
      </w:pPr>
      <w:r>
        <w:rPr>
          <w:rFonts w:ascii="맑은 고딕" w:hAnsi="맑은 고딕" w:eastAsia="맑은 고딕" w:cs="맑은 고딕"/>
          <w:color w:val="000000"/>
          <w:sz w:val="18"/>
        </w:rPr>
        <w:t>태그  #대기환경보전법 #공장설립승인 #개발행위허가 #환경오염우려 #재량권일탈남용 #비산먼지 #행정판례 #대법원판례 #2018년판례 #2017두71789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