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N w:val="0"/>
        <w:autoSpaceDE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계획관리지역의 특정대기유해물질 배출시설 설치 금지는 합헌입니다. (2018두34497)</w:t>
      </w:r>
    </w:p>
    <w:p>
      <w:pPr>
        <w:autoSpaceDN w:val="0"/>
        <w:autoSpaceDE w:val="0"/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2018두34497 (2019.10.18 선고)</w:t>
      </w:r>
    </w:p>
    <w:p>
      <w:pPr>
        <w:autoSpaceDN w:val="0"/>
        <w:autoSpaceDE w:val="0"/>
        <w:spacing w:after="120"/>
      </w:pPr>
      <w:r>
        <w:rPr>
          <w:rFonts w:ascii="맑은 고딕" w:hAnsi="맑은 고딕" w:eastAsia="맑은 고딕" w:cs="맑은 고딕"/>
          <w:color w:val="000000"/>
        </w:rPr>
        <w:t>○ 특정대기유해물질 배출시설을 설치허가 대상으로 하면서 계획관리지역에서는 그 설치를 금지하여 사실상 허가를 받을 수 없게 한 시행령 조항이 위헌인지가 문제된 사건입니다. 대법원은 목적의 정당성·수단의 적합성·피해의 최소성·법익의 균형성이 모두 인정된다고 보아 과잉금지원칙에 위반되지 않는다고 판단하였습니다.</w:t>
      </w:r>
    </w:p>
    <w:p>
      <w:pPr>
        <w:autoSpaceDN w:val="0"/>
        <w:autoSpaceDE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계획관리지역에서는 특정대기유해물질 배출시설을 아예 설치할 수 없나요?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그렇습니다. 설치허가를 받아야 하는데 계획관리지역에서는 설치가 금지되어 허가를 받을 수 없습니다(현행은 기준 이상 배출되는 시설이 대상입니다).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그렇게 되면 직업수행의 자유와 재산권을 과도하게 제한하는 것 아닌가요?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대법원은 계획관리지역에 한하여 ‘특정대기유해물질 배출시설’이라는 특정 용도만 제한하는 것이므로 피해의 최소성과 법익의 균형성을 충족한다고 보았습니다.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나중에 시행령이 ‘기준 이상’ 배출 시설만 규제하도록 바뀌었는데, 종전 규정이 위헌이었다는 뜻인가요?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아닙니다. 규제를 합리적으로 개선한 것일 뿐, 시행령 제정자가 종전 조항의 위헌성을 스스로 인정하여 제거한 것이라고 보기는 어렵습니다.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2018두34497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2019.10.18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원고 주식회사 ○○○ · 피고 김포시장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같은 취지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 2018두37533 (2019.10.17 선고), 2018두37625 (2019.11.14 선고) — 같은 취지의 판결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일반행정 (폐쇄명령처분취소의소)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서울고법 2017누55383 (2018. 1. 18.)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상고기각 (원심 확정)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원고는 김포시에 있는 이 사건 시설을 설치·운영하여 왔고, 그 부지의 용도지역은 국토계획법상 계획관리지역으로 지정되어 있었다.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구 대기환경보전법 시행령 제11조 제1항 제1호는 ‘특정대기유해물질이 발생되는 배출시설’을 설치허가 대상으로 정하고 있었고, 구 국토계획법 시행령은 계획관리지역 안에서 특정대기유해물질을 배출하는 공장의 건축을 금지하고 있었다.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피고는 이 사건 시설에 대한 배출검사에서 특정대기유해물질이 검출되었다는 이유로, 구 대기환경보전법 제38조 단서에 따라 폐쇄명령을 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원고는 처분의 근거가 된 시행령 조항 및 김포시 도시계획조례 조항이 과잉금지원칙에 반하여 위헌·무효라고 주장하면서 처분의 취소를 구하였다.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원심은 위 시행령 조항 및 조례 조항이 과잉금지원칙에 반하지 않고, ‘이 사건 시설에서 특정대기유해물질이 조금이라도 배출되었다’는 처분사유가 증명되었다고 판단하였다.</w:t>
      </w: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  <w:u w:val="single"/>
        </w:rPr>
        <w:t>이 사건의 쟁점은, 특정대기유해물질이 발생되는 배출시설을 설치허가 대상으로 규정한 구 대기환경보전법 시행령 제11조 제1항 제1호와, 계획관리지역에서 특정대기유해물질을 배출하는 시설의 설치를 금지하는 구 국토계획법 시행령 조항이 헌법 제37조 제2항의 과잉금지원칙에 반하는지 여부이다.</w:t>
      </w: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원심의 판단 원심은 이 사건 처분의 근거규정인 시행령 조항 및 조례 조항이 과잉금지원칙에 반하지 않는다고 판단하였고, 처분사유도 증명되었다고 보았다.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② 대법원의 판단 원심의 판단은 정당하고, 거기에 과잉금지원칙에 관한 법리를 오해하거나 필요한 심리를 다하지 않은 잘못이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특정대기유해물질 배출시설 설치에 행정청의 허가를 받도록 한 것은 대기오염으로 인한 국민건강이나 환경에 관한 위해를 예방하려는 대기환경보전법의 입법 목적에 부합하므로 목적의 정당성이 인정되고, 허가제는 그 목적을 달성하는 데 적합한 수단이다.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나아가 위 조항은 특정대기유해물질 배출시설의 설치를 절대적으로 금지하는 것이 아니라 사전에 허가를 받아야 함을 규정한 것일 뿐이므로 이익 침해의 정도가 크지 않아 피해의 최소성을 충족하였고, 허가제로 인한 제한이 공익보다 크다고 볼 수 없어 법익의 균형성도 충족하였다.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토지의 사회성·공공성으로 인해 토지재산권에는 다른 재산권에 비하여 강한 제한과 의무가 부과될 수 있고, 토지의 이용·개발과 보전에 관하여는 입법자에게 광범위한 입법형성권이 부여되어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도시지역으로의 편입이 예상되거나 자연환경을 고려하여 제한적인 이용·개발이 요구되는 계획관리지역의 계획적·체계적인 개발·관리를 위하여 특정대기유해물질 배출시설의 설치를 금지하는 것은 목적의 정당성과 수단의 적합성이 인정된다.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또한 계획관리지역에 한하여 금지하는 것일 뿐 모든 지역에서 금지하는 것은 아니고, ‘특정대기유해물질 배출시설’이라는 특정 용도로 건물을 사용하거나 영업하는 것만을 제한하는 것이므로 피해의 최소성과 법익의 균형성이 충족되었다.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⑧ 계획관리지역에서 허가 없이 설치된 특정대기유해물질 배출시설이 폐쇄명령을 받게 되는 불이익은, 설치가 금지된 장소에서 무단으로 설치·운영하는 위반행위로 초래된 결과일 뿐 위 시행령 조항에 의하여 직접 발생하는 법익침해의 결과로 볼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⑨ 2015. 12. 10. 개정으로 ‘기준 이상’ 배출 시설만 규제하도록 바뀌었으나, 이는 규제를 합리적으로 개선하기 위한 것일 뿐 시행령 제정자가 종전 조항의 위헌성을 스스로 인정하여 제거한 것이라고 보기 어렵다.</w:t>
      </w: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판결요지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  <w:u w:val="single"/>
        </w:rPr>
        <w:t>① 구 대기환경보전법 시행령 제11조 제1항 제1호 및 구 국토의 계획 및 이용에 관한 법률 시행령 제71조 제1항 제19호, [별표 20] 제1호 (자)목 (1) 중 [별표 19] 제2호 (자)목 (1) 부분에 의하면, 특정대기유해물질 배출시설을 설치하기 위해서는 행정청의 허가를 받아야 하는데, 계획관리지역에서는 특정대기유해물질을 배출하는 시설의 설치가 금지되기 때문에 허가를 받을 수 없으므로, 그 범위에서 특정대기유해물질을 배출하는 공장시설을 설치하여 운영하려는 자의 직업수행의 자유, 계획관리지역에서 토지나 건물을 소유하고 있는 자의 재산권이 제한받을 수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  <w:u w:val="single"/>
        </w:rPr>
        <w:t>② 그러나 위 시행령 조항들이 헌법 제37조 제2항의 과잉금지원칙을 위반하였다고 볼 수는 없다.</w:t>
      </w: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6.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제1조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이 법은 대기오염으로 인한 국민건강이나 환경에 관한 위해를 예방하고 대기환경을 적정하고 지속가능하게 관리·보전하여 모든 국민이 건강하고 쾌적한 환경에서 생활할 수 있게 하는 것을 목적으로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제23조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배출시설을 설치하려는 자는 대통령령으로 정하는 바에 따라 시·도지사의 허가를 받거나 시·도지사에게 신고하여야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제38조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허가를 받지 아니하거나 신고를 하지 아니하고 배출시설을 설치하거나 사용하는 자에게는 사용중지를 명하여야 하고, 그 설치장소가 다른 법률에 따라 그 배출시설의 설치가 금지된 경우에는 폐쇄를 명하여야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 시행령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제11조 제1항 제1호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특정대기유해물질이 기후에너지환경부령으로 정하는 기준 이상으로 발생되는 배출시설은 설치허가를 받아야 한다(구 규정은 ‘특정대기유해물질이 발생되는 배출시설’).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국토의 계획 및 이용에 관한 법률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제36조 제1항 제2호 (다)목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관리지역 중 계획관리지역은 도시지역으로의 편입이 예상되는 지역이나 자연환경을 고려하여 제한적인 이용·개발을 하려는 지역으로서 계획적·체계적인 관리가 필요한 지역이다.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국토의 계획 및 이용에 관한 법률 시행령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제71조 제1항 [별표 20]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계획관리지역 안에서 건축할 수 없는 건축물을 정하고 있으며, 특정대기유해물질이 기준 이상으로 배출되는 공장을 포함한다.</w:t>
            </w:r>
          </w:p>
        </w:tc>
      </w:tr>
    </w:tbl>
    <w:p>
      <w:pPr>
        <w:autoSpaceDN w:val="0"/>
        <w:autoSpaceDE w:val="0"/>
        <w:pStyle w:val="note"/>
        <w:spacing w:before="80"/>
      </w:pPr>
      <w:r>
        <w:rPr>
          <w:rFonts w:ascii="맑은 고딕" w:hAnsi="맑은 고딕" w:eastAsia="맑은 고딕" w:cs="맑은 고딕"/>
          <w:color w:val="000000"/>
        </w:rPr>
        <w:t>※ ‘적용 문구’는 현행 조문을 요약한 것으로, 구법이 적용된 사건은 당시 조문과 다를 수 있습니다.</w:t>
      </w:r>
    </w:p>
    <w:p>
      <w:pPr>
        <w:autoSpaceDN w:val="0"/>
        <w:autoSpaceDE w:val="0"/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N w:val="0"/>
        <w:autoSpaceDE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https://www.law.go.kr/판례/(2018두34497)</w:t>
      </w:r>
    </w:p>
    <w:p>
      <w:pPr>
        <w:autoSpaceDN w:val="0"/>
        <w:autoSpaceDE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#대기환경보전법 #특정대기유해물질 #계획관리지역 #설치허가 #폐쇄명령 #과잉금지원칙 #행정판례 #대법원판례 #2019년판례 #2018두34497 #환경법 #환경인허가 #인허가서대리 #서대리</w:t>
      </w:r>
    </w:p>
    <w:p>
      <w:pPr>
        <w:autoSpaceDN w:val="0"/>
        <w:autoSpaceDE w:val="0"/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