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N w:val="0"/>
        <w:autoSpaceDE w:val="0"/>
        <w:spacing w:after="60"/>
      </w:pPr>
      <w:r>
        <w:rPr>
          <w:rFonts w:ascii="맑은 고딕" w:hAnsi="맑은 고딕" w:eastAsia="맑은 고딕" w:cs="맑은 고딕"/>
          <w:b/>
          <w:color w:val="000000"/>
          <w:sz w:val="30"/>
        </w:rPr>
        <w:t>대기배출시설 설치허가를 받아도 악취배출시설 신고는 따로 수리받아야 합니다. (2020두40327)</w:t>
      </w:r>
    </w:p>
    <w:p>
      <w:pPr>
        <w:autoSpaceDN w:val="0"/>
        <w:autoSpaceDE w:val="0"/>
        <w:pStyle w:val="law1"/>
        <w:spacing w:after="160"/>
      </w:pPr>
      <w:r>
        <w:rPr>
          <w:rFonts w:ascii="맑은 고딕" w:hAnsi="맑은 고딕" w:eastAsia="맑은 고딕" w:cs="맑은 고딕"/>
          <w:color w:val="000000"/>
        </w:rPr>
        <w:t>대법원 2020두40327 (2022.09.07 선고)</w:t>
      </w:r>
    </w:p>
    <w:p>
      <w:pPr>
        <w:autoSpaceDN w:val="0"/>
        <w:autoSpaceDE w:val="0"/>
        <w:spacing w:after="120"/>
      </w:pPr>
      <w:r>
        <w:rPr>
          <w:rFonts w:ascii="맑은 고딕" w:hAnsi="맑은 고딕" w:eastAsia="맑은 고딕" w:cs="맑은 고딕"/>
          <w:color w:val="000000"/>
        </w:rPr>
        <w:t>○ 대기오염물질배출시설 설치허가를 받으면 악취배출시설 설치·운영신고도 수리된 것으로 볼 수 있는지가 문제된 사건입니다. 대법원은 악취배출시설 신고는 수리를 요하는 신고이고, 대기환경보전법령에 의제규정이 없는 이상 설치허가를 받았다고 하여 악취신고가 수리된 것으로 볼 수 없으며, 악취방지계획의 적정 여부 판단에는 행정청의 광범위한 재량이 인정된다고 보았습니다.</w:t>
      </w:r>
    </w:p>
    <w:p>
      <w:pPr>
        <w:autoSpaceDN w:val="0"/>
        <w:autoSpaceDE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21"/>
              </w:rPr>
              <w:t>※ 간단요약</w:t>
            </w:r>
          </w:p>
        </w:tc>
      </w:tr>
      <w:tr>
        <w:tc>
          <w:tcPr>
            <w:tcW w:type="pct" w:w="5000"/>
            <w:shd w:val="clear" w:color="auto" w:fill="F7F7F7"/>
          </w:tcPr>
          <w:p>
            <w:pPr>
              <w:autoSpaceDN w:val="0"/>
              <w:autoSpaceDE w:val="0"/>
            </w:pPr>
            <w:r>
              <w:rPr>
                <w:rFonts w:ascii="맑은 고딕" w:hAnsi="맑은 고딕" w:eastAsia="맑은 고딕" w:cs="맑은 고딕"/>
                <w:b/>
                <w:color w:val="000000"/>
                <w:sz w:val="19"/>
              </w:rPr>
              <w:t>Q. 악취배출시설 설치·운영신고는 접수만 하면 효력이 생기는 자기완결적 신고인가요?</w:t>
            </w:r>
          </w:p>
          <w:p>
            <w:pPr>
              <w:autoSpaceDN w:val="0"/>
              <w:autoSpaceDE w:val="0"/>
            </w:pPr>
            <w:r>
              <w:rPr>
                <w:rFonts w:ascii="맑은 고딕" w:hAnsi="맑은 고딕" w:eastAsia="맑은 고딕" w:cs="맑은 고딕"/>
                <w:color w:val="000000"/>
                <w:sz w:val="19"/>
              </w:rPr>
              <w:t>A. 아닙니다. 관할 행정청은 신고와 함께 제출된 악취방지계획상의 조치가 적절한지를 검토할 권한이 있으므로, 수리를 요하는 신고입니다.</w:t>
            </w:r>
          </w:p>
          <w:p>
            <w:pPr>
              <w:autoSpaceDN w:val="0"/>
              <w:autoSpaceDE w:val="0"/>
            </w:pPr>
          </w:p>
          <w:p>
            <w:pPr>
              <w:autoSpaceDN w:val="0"/>
              <w:autoSpaceDE w:val="0"/>
            </w:pPr>
            <w:r>
              <w:rPr>
                <w:rFonts w:ascii="맑은 고딕" w:hAnsi="맑은 고딕" w:eastAsia="맑은 고딕" w:cs="맑은 고딕"/>
                <w:b/>
                <w:color w:val="000000"/>
                <w:sz w:val="19"/>
              </w:rPr>
              <w:t>Q. 대기오염물질배출시설 설치허가를 받았으니 악취신고도 수리된 것으로 보나요?</w:t>
            </w:r>
          </w:p>
          <w:p>
            <w:pPr>
              <w:autoSpaceDN w:val="0"/>
              <w:autoSpaceDE w:val="0"/>
            </w:pPr>
            <w:r>
              <w:rPr>
                <w:rFonts w:ascii="맑은 고딕" w:hAnsi="맑은 고딕" w:eastAsia="맑은 고딕" w:cs="맑은 고딕"/>
                <w:color w:val="000000"/>
                <w:sz w:val="19"/>
              </w:rPr>
              <w:t>A. 아닙니다. 인허가의제는 법률 또는 법률의 위임에 따른 법규명령의 근거가 있어야 하는데, 대기환경보전법령에는 그런 의제규정이 없습니다.</w:t>
            </w:r>
          </w:p>
          <w:p>
            <w:pPr>
              <w:autoSpaceDN w:val="0"/>
              <w:autoSpaceDE w:val="0"/>
            </w:pPr>
          </w:p>
          <w:p>
            <w:pPr>
              <w:autoSpaceDN w:val="0"/>
              <w:autoSpaceDE w:val="0"/>
            </w:pPr>
            <w:r>
              <w:rPr>
                <w:rFonts w:ascii="맑은 고딕" w:hAnsi="맑은 고딕" w:eastAsia="맑은 고딕" w:cs="맑은 고딕"/>
                <w:b/>
                <w:color w:val="000000"/>
                <w:sz w:val="19"/>
              </w:rPr>
              <w:t>Q. 악취방지계획이 적정한지는 어떻게 다투나요?</w:t>
            </w:r>
          </w:p>
          <w:p>
            <w:pPr>
              <w:autoSpaceDN w:val="0"/>
              <w:autoSpaceDE w:val="0"/>
            </w:pPr>
            <w:r>
              <w:rPr>
                <w:rFonts w:ascii="맑은 고딕" w:hAnsi="맑은 고딕" w:eastAsia="맑은 고딕" w:cs="맑은 고딕"/>
                <w:color w:val="000000"/>
                <w:sz w:val="19"/>
              </w:rPr>
              <w:t>A. 행정청의 광범위한 재량이 인정되므로, 그 판단이 현저히 합리적이지 않거나 형평·비례의 원칙에 뚜렷하게 배치되는 등의 사정이 없는 한 폭넓게 존중됩니다.</w:t>
            </w:r>
          </w:p>
        </w:tc>
      </w:tr>
    </w:tbl>
    <w:p>
      <w:pPr>
        <w:autoSpaceDN w:val="0"/>
        <w:autoSpaceDE w:val="0"/>
      </w:pPr>
    </w:p>
    <w:p>
      <w:pPr>
        <w:autoSpaceDN w:val="0"/>
        <w:autoSpaceDE w:val="0"/>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N w:val="0"/>
              <w:autoSpaceDE w:val="0"/>
            </w:pPr>
            <w:r>
              <w:rPr>
                <w:rFonts w:ascii="맑은 고딕" w:hAnsi="맑은 고딕" w:eastAsia="맑은 고딕" w:cs="맑은 고딕"/>
                <w:b/>
                <w:color w:val="000000"/>
                <w:sz w:val="19"/>
              </w:rPr>
              <w:t>사건번호</w:t>
            </w:r>
          </w:p>
        </w:tc>
        <w:tc>
          <w:tcPr>
            <w:tcW w:type="pct" w:w="3800"/>
          </w:tcPr>
          <w:p>
            <w:pPr>
              <w:autoSpaceDN w:val="0"/>
              <w:autoSpaceDE w:val="0"/>
            </w:pPr>
            <w:r>
              <w:rPr>
                <w:rFonts w:ascii="맑은 고딕" w:hAnsi="맑은 고딕" w:eastAsia="맑은 고딕" w:cs="맑은 고딕"/>
                <w:color w:val="000000"/>
                <w:sz w:val="19"/>
              </w:rPr>
              <w:t>2020두40327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선고일자</w:t>
            </w:r>
          </w:p>
        </w:tc>
        <w:tc>
          <w:tcPr>
            <w:tcW w:type="pct" w:w="3800"/>
          </w:tcPr>
          <w:p>
            <w:pPr>
              <w:autoSpaceDN w:val="0"/>
              <w:autoSpaceDE w:val="0"/>
            </w:pPr>
            <w:r>
              <w:rPr>
                <w:rFonts w:ascii="맑은 고딕" w:hAnsi="맑은 고딕" w:eastAsia="맑은 고딕" w:cs="맑은 고딕"/>
                <w:color w:val="000000"/>
                <w:sz w:val="19"/>
              </w:rPr>
              <w:t>2022.09.07</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법원</w:t>
            </w:r>
          </w:p>
        </w:tc>
        <w:tc>
          <w:tcPr>
            <w:tcW w:type="pct" w:w="3800"/>
          </w:tcPr>
          <w:p>
            <w:pPr>
              <w:autoSpaceDN w:val="0"/>
              <w:autoSpaceDE w:val="0"/>
            </w:pPr>
            <w:r>
              <w:rPr>
                <w:rFonts w:ascii="맑은 고딕" w:hAnsi="맑은 고딕" w:eastAsia="맑은 고딕" w:cs="맑은 고딕"/>
                <w:color w:val="000000"/>
                <w:sz w:val="19"/>
              </w:rPr>
              <w:t>대법원</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당사자</w:t>
            </w:r>
          </w:p>
        </w:tc>
        <w:tc>
          <w:tcPr>
            <w:tcW w:type="pct" w:w="3800"/>
          </w:tcPr>
          <w:p>
            <w:pPr>
              <w:autoSpaceDN w:val="0"/>
              <w:autoSpaceDE w:val="0"/>
            </w:pPr>
            <w:r>
              <w:rPr>
                <w:rFonts w:ascii="맑은 고딕" w:hAnsi="맑은 고딕" w:eastAsia="맑은 고딕" w:cs="맑은 고딕"/>
                <w:color w:val="000000"/>
                <w:sz w:val="19"/>
              </w:rPr>
              <w:t>원고 ○○○ 주식회사 · 피고 안양시장</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사건종류</w:t>
            </w:r>
          </w:p>
        </w:tc>
        <w:tc>
          <w:tcPr>
            <w:tcW w:type="pct" w:w="3800"/>
          </w:tcPr>
          <w:p>
            <w:pPr>
              <w:autoSpaceDN w:val="0"/>
              <w:autoSpaceDE w:val="0"/>
            </w:pPr>
            <w:r>
              <w:rPr>
                <w:rFonts w:ascii="맑은 고딕" w:hAnsi="맑은 고딕" w:eastAsia="맑은 고딕" w:cs="맑은 고딕"/>
                <w:color w:val="000000"/>
                <w:sz w:val="19"/>
              </w:rPr>
              <w:t>일반행정 (악취배출시설설치신고반려처분등취소의소)</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원심</w:t>
            </w:r>
          </w:p>
        </w:tc>
        <w:tc>
          <w:tcPr>
            <w:tcW w:type="pct" w:w="3800"/>
          </w:tcPr>
          <w:p>
            <w:pPr>
              <w:autoSpaceDN w:val="0"/>
              <w:autoSpaceDE w:val="0"/>
            </w:pPr>
            <w:r>
              <w:rPr>
                <w:rFonts w:ascii="맑은 고딕" w:hAnsi="맑은 고딕" w:eastAsia="맑은 고딕" w:cs="맑은 고딕"/>
                <w:color w:val="000000"/>
                <w:sz w:val="19"/>
              </w:rPr>
              <w:t>서울고법 2019누35451 (2020. 5. 21.)</w:t>
            </w:r>
          </w:p>
        </w:tc>
      </w:tr>
      <w:tr>
        <w:tc>
          <w:tcPr>
            <w:tcW w:type="pct" w:w="1200"/>
            <w:shd w:val="clear" w:color="auto" w:fill="F2F2F2"/>
          </w:tcPr>
          <w:p>
            <w:pPr>
              <w:autoSpaceDN w:val="0"/>
              <w:autoSpaceDE w:val="0"/>
            </w:pPr>
            <w:r>
              <w:rPr>
                <w:rFonts w:ascii="맑은 고딕" w:hAnsi="맑은 고딕" w:eastAsia="맑은 고딕" w:cs="맑은 고딕"/>
                <w:b/>
                <w:color w:val="000000"/>
                <w:sz w:val="19"/>
              </w:rPr>
              <w:t>결과</w:t>
            </w:r>
          </w:p>
        </w:tc>
        <w:tc>
          <w:tcPr>
            <w:tcW w:type="pct" w:w="3800"/>
          </w:tcPr>
          <w:p>
            <w:pPr>
              <w:autoSpaceDN w:val="0"/>
              <w:autoSpaceDE w:val="0"/>
            </w:pPr>
            <w:r>
              <w:rPr>
                <w:rFonts w:ascii="맑은 고딕" w:hAnsi="맑은 고딕" w:eastAsia="맑은 고딕" w:cs="맑은 고딕"/>
                <w:color w:val="000000"/>
                <w:sz w:val="19"/>
              </w:rPr>
              <w:t>원심 중 피고 패소 부분 파기환송</w:t>
            </w:r>
          </w:p>
        </w:tc>
      </w:tr>
    </w:tbl>
    <w:p>
      <w:pPr>
        <w:autoSpaceDN w:val="0"/>
        <w:autoSpaceDE w:val="0"/>
      </w:pPr>
    </w:p>
    <w:p>
      <w:pPr>
        <w:autoSpaceDN w:val="0"/>
        <w:autoSpaceDE w:val="0"/>
        <w:pStyle w:val="2"/>
        <w:spacing w:before="80"/>
      </w:pPr>
      <w:r>
        <w:rPr>
          <w:rFonts w:ascii="맑은 고딕" w:hAnsi="맑은 고딕" w:eastAsia="맑은 고딕" w:cs="맑은 고딕"/>
          <w:color w:val="000000"/>
        </w:rPr>
        <w:t>2. 사실관계</w:t>
      </w:r>
    </w:p>
    <w:p>
      <w:pPr>
        <w:autoSpaceDN w:val="0"/>
        <w:autoSpaceDE w:val="0"/>
      </w:pPr>
      <w:r>
        <w:rPr>
          <w:rFonts w:ascii="맑은 고딕" w:hAnsi="맑은 고딕" w:eastAsia="맑은 고딕" w:cs="맑은 고딕"/>
          <w:color w:val="000000"/>
        </w:rPr>
        <w:t>① 원고는 2004년경부터 안양시에 있는 아스팔트 콘크리트 제조공장에서 재생아스콘을 생산하여 왔다.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재생아스콘 생산 이후 특정대기유해물질 검출, 악취와 먼지 발생, 과적 화물차량 등과 관련한 인근 지역 주민들의 민원이 계속 제기되었다.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악취 관련 민원이 계속되고 악취 측정결과도 기준치 초과가 4회에 이르자, 피고는 2017. 6. 15. 악취방지법 제8조의2 제1항에 따라 이 사건 공장에 설치된 건조시설 등을 신고대상 악취배출시설로 지정·고시하였다.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한편 이 사건 공장의 배출물질에서 벤조피렌과 다환방향족탄화수소류가 검출되자 경기도지사는 무허가 대기오염물질배출시설 설치·운영을 이유로 사용중지 명령을 하였고, 원고는 방지시설을 추가로 설치하여 2018. 3. 19. 경기도지사로부터 대기오염물질배출시설 설치허가를 받았다.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원고는 2018. 5. 3.과 2018. 7. 11. 두 차례에 걸쳐 피고에게 악취방지계획서 등을 첨부하여 악취배출시설 설치·운영신고를 하였으나, 피고는 이를 모두 반려하였다.</w:t>
      </w:r>
    </w:p>
    <w:p>
      <w:pPr>
        <w:autoSpaceDN w:val="0"/>
        <w:autoSpaceDE w:val="0"/>
      </w:pPr>
    </w:p>
    <w:p>
      <w:pPr>
        <w:autoSpaceDN w:val="0"/>
        <w:autoSpaceDE w:val="0"/>
        <w:pStyle w:val="2"/>
        <w:spacing w:before="80"/>
      </w:pPr>
      <w:r>
        <w:rPr>
          <w:rFonts w:ascii="맑은 고딕" w:hAnsi="맑은 고딕" w:eastAsia="맑은 고딕" w:cs="맑은 고딕"/>
          <w:color w:val="000000"/>
        </w:rPr>
        <w:t>3. 쟁점</w:t>
      </w:r>
    </w:p>
    <w:p>
      <w:pPr>
        <w:autoSpaceDN w:val="0"/>
        <w:autoSpaceDE w:val="0"/>
      </w:pPr>
      <w:r>
        <w:rPr>
          <w:rFonts w:ascii="맑은 고딕" w:hAnsi="맑은 고딕" w:eastAsia="맑은 고딕" w:cs="맑은 고딕"/>
          <w:color w:val="000000"/>
          <w:u w:val="single"/>
        </w:rPr>
        <w:t>이 사건의 쟁점은, 악취방지법상 악취배출시설 설치·운영신고가 수리를 요하는 신고인지 여부, 대기환경보전법에 따른 대기오염물질배출시설 설치허가를 받은 경우 악취배출시설 설치·운영신고가 수리된 것으로 볼 수 있는지 여부, 그리고 악취방지계획의 적정 여부 판단에 관하여 행정청에 광범위한 재량이 인정되는지 여부이다.</w:t>
      </w:r>
    </w:p>
    <w:p>
      <w:pPr>
        <w:autoSpaceDN w:val="0"/>
        <w:autoSpaceDE w:val="0"/>
      </w:pPr>
    </w:p>
    <w:p>
      <w:pPr>
        <w:autoSpaceDN w:val="0"/>
        <w:autoSpaceDE w:val="0"/>
        <w:pStyle w:val="2"/>
        <w:spacing w:before="80"/>
      </w:pPr>
      <w:r>
        <w:rPr>
          <w:rFonts w:ascii="맑은 고딕" w:hAnsi="맑은 고딕" w:eastAsia="맑은 고딕" w:cs="맑은 고딕"/>
          <w:color w:val="000000"/>
        </w:rPr>
        <w:t>4. 판단</w:t>
      </w:r>
    </w:p>
    <w:p>
      <w:pPr>
        <w:autoSpaceDN w:val="0"/>
        <w:autoSpaceDE w:val="0"/>
      </w:pPr>
      <w:r>
        <w:rPr>
          <w:rFonts w:ascii="맑은 고딕" w:hAnsi="맑은 고딕" w:eastAsia="맑은 고딕" w:cs="맑은 고딕"/>
          <w:b/>
          <w:color w:val="000000"/>
          <w:u w:val="single"/>
        </w:rPr>
        <w:t>① 원심의 판단 원심은 악취배출시설 설치·운영신고가 수리를 요하지 않는 자기완결적 신고임을 전제로 형식적 요건을 갖춘 이상 접수된 때에 효력이 발생하였다고 보고, 나아가 원고가 대기오염물질배출시설 설치허가를 받았으므로 악취신고도 수리되어 효력이 발생하였으며, 이 사건 각 처분에 재량권 일탈·남용의 위법이 있다고 판단하였다.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대법원의 판단 그러나 원심의 판단은 아래와 같은 이유로 수긍하기 어렵다.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신고대상 악취배출시설로 지정·고시되었다는 것은 이미 생활환경에 피해가 발생하였다는 것을 의미하므로, 운영자가 제출하는 악취방지계획이 적정한지를 사전에 검토할 필요성이 크다.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악취방지법령은 신고 시 악취방지계획서 등을 첨부하도록 하고, 악취방지계획에 악취를 제거할 수 있는 가장 적절한 조치를 포함하도록 하며, 신고가 ‘신고서 작성→접수→검토→결재→확인증 발급’ 절차를 거쳐 처리된다고 밝히고 있다. 따라서 관할 행정청은 악취방지조치가 적절한지를 검토할 권한을 갖고 있고, 시행령이 신고의 ‘수리’ 권한을 위임하고 있는 것도 심사권한을 전제로 한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⑤ 다음으로, 인허가의제 제도는 관련 인허가 행정청의 권한을 제한하거나 박탈하는 효과를 가진다는 점에서 법률 또는 법률의 위임에 따른 법규명령의 근거가 있어야 한다. 그런데 대기환경보전법령에는 대기오염물질배출시설 설치허가를 받으면 악취배출시설 설치·운영신고가 수리된 것으로 의제하는 규정이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대기오염물질배출시설 설치허가로 악취신고가 수리된 것으로 의제하면 신고대상 악취배출시설 지정권자와 신고 수리 여부 심사권한자가 분리되는 상황이 발생하는데, 이는 대도시의 장에게 지역여건에 맞는 악취관리를 하도록 한 악취방지법의 입법 취지에도 반한다.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⑦ 나아가 환경정책기본법과 악취방지법령의 입법 취지, 내용과 체계에 비추어 보면, 행정청은 사람의 건강이나 생활환경에 미치는 영향을 두루 검토하여 악취방지계획의 적정 여부를 판단할 수 있고, 이에 관해서는 행정청의 광범위한 재량권이 인정된다.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상차 등 출하과정이 아스콘 제조시설의 주요 악취발생공정인 점, 활성탄 흡착방식을 채택한 원고에게 악취물질 재조사와 전처리 조치를 요구한 점, 악취 관련 민원이 수년간 지속되어 신고대상 시설로 지정된 점 등에 비추어 피고의 요구는 재량권의 범위 내에 있다고 볼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b/>
          <w:color w:val="000000"/>
          <w:u w:val="single"/>
        </w:rPr>
        <w:t>⑨ 그럼에도 원심은 자기완결적 신고에 해당한다고 보고, 설치허가로 악취신고가 수리되었다고 보았으며, 재량권 일탈·남용을 인정하였으니, 원심판결에는 수리를 요하는 신고, 대기오염물질배출시설 설치허가의 효력, 재량권 일탈·남용에 관한 법리를 오해한 잘못이 있다.</w:t>
      </w:r>
    </w:p>
    <w:p>
      <w:pPr>
        <w:autoSpaceDN w:val="0"/>
        <w:autoSpaceDE w:val="0"/>
      </w:pPr>
    </w:p>
    <w:p>
      <w:pPr>
        <w:autoSpaceDN w:val="0"/>
        <w:autoSpaceDE w:val="0"/>
        <w:pStyle w:val="2"/>
        <w:spacing w:before="80"/>
      </w:pPr>
      <w:r>
        <w:rPr>
          <w:rFonts w:ascii="맑은 고딕" w:hAnsi="맑은 고딕" w:eastAsia="맑은 고딕" w:cs="맑은 고딕"/>
          <w:color w:val="000000"/>
        </w:rPr>
        <w:t>5. 판결요지</w:t>
      </w:r>
    </w:p>
    <w:p>
      <w:pPr>
        <w:autoSpaceDN w:val="0"/>
        <w:autoSpaceDE w:val="0"/>
      </w:pPr>
      <w:r>
        <w:rPr>
          <w:rFonts w:ascii="맑은 고딕" w:hAnsi="맑은 고딕" w:eastAsia="맑은 고딕" w:cs="맑은 고딕"/>
          <w:color w:val="000000"/>
          <w:u w:val="single"/>
        </w:rPr>
        <w:t>① 대기환경보전법에 따른 대기오염물질배출시설 설치허가를 받았다고 하더라도 악취배출시설 설치·운영신고가 수리되어 그 효력이 발생한다고 볼 수 없다. 인허가의제 제도는 관련 인허가 행정청의 권한을 제한하거나 박탈하는 효과를 가진다는 점에서 법률 또는 법률의 위임에 따른 법규명령의 근거가 있어야 하는데, 대기환경보전법령에서는 대기오염물질배출시설 설치허가를 받으면 악취배출시설 설치·운영신고가 수리된 것으로 의제하는 규정을 두고 있지 않다.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rPr>
        <w:t>② 환경정책기본법과 악취방지법령의 입법 취지, 내용과 체계에 비추어 보면, 행정청은 사람의 건강이나 생활환경에 미치는 영향을 두루 검토하여 악취방지계획의 적정 여부를 판단할 수 있고, 이에 관해서는 행정청의 광범위한 재량권이 인정된다. 따라서 법원이 재량권 일탈·남용 여부를 심사할 때에는 해당 지역 주민들의 생활환경 등 구체적 지역 상황, 상반되는 이익을 가진 이해관계자들 사이의 권익 균형과 환경권의 보호에 관한 각종 규정의 입법 취지 등을 종합하여 신중하게 판단해야 하고, 행정청의 재량적 판단은 그 내용이 현저히 합리적이지 않다거나 형평이나 비례의 원칙에 뚜렷하게 배치되는 등의 사정이 없는 한 폭넓게 존중될 필요가 있다.</w:t>
      </w:r>
    </w:p>
    <w:p>
      <w:pPr>
        <w:autoSpaceDN w:val="0"/>
        <w:autoSpaceDE w:val="0"/>
      </w:pPr>
    </w:p>
    <w:p>
      <w:pPr>
        <w:autoSpaceDN w:val="0"/>
        <w:autoSpaceDE w:val="0"/>
        <w:pStyle w:val="2"/>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N w:val="0"/>
              <w:autoSpaceDE w:val="0"/>
            </w:pPr>
            <w:r>
              <w:rPr>
                <w:rFonts w:ascii="맑은 고딕" w:hAnsi="맑은 고딕" w:eastAsia="맑은 고딕" w:cs="맑은 고딕"/>
                <w:b/>
                <w:color w:val="000000"/>
                <w:sz w:val="19"/>
              </w:rPr>
              <w:t>적용 문구</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대기환경보전법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제23조</w:t>
            </w:r>
          </w:p>
        </w:tc>
        <w:tc>
          <w:tcPr>
            <w:tcW w:type="pct" w:w="3500"/>
          </w:tcPr>
          <w:p>
            <w:pPr>
              <w:autoSpaceDN w:val="0"/>
              <w:autoSpaceDE w:val="0"/>
            </w:pPr>
            <w:r>
              <w:rPr>
                <w:rFonts w:ascii="맑은 고딕" w:hAnsi="맑은 고딕" w:eastAsia="맑은 고딕" w:cs="맑은 고딕"/>
                <w:color w:val="000000"/>
                <w:sz w:val="19"/>
              </w:rPr>
              <w:t>배출시설을 설치하려는 자는 대통령령으로 정하는 바에 따라 시·도지사의 허가를 받거나 시·도지사에게 신고하여야 한다. 대기오염물질배출시설 설치허가로 악취배출시설 신고가 수리된 것으로 보는 의제규정은 두고 있지 않다.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악취방지법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제8조의2 제1항</w:t>
            </w:r>
          </w:p>
        </w:tc>
        <w:tc>
          <w:tcPr>
            <w:tcW w:type="pct" w:w="3500"/>
          </w:tcPr>
          <w:p>
            <w:pPr>
              <w:autoSpaceDN w:val="0"/>
              <w:autoSpaceDE w:val="0"/>
            </w:pPr>
            <w:r>
              <w:rPr>
                <w:rFonts w:ascii="맑은 고딕" w:hAnsi="맑은 고딕" w:eastAsia="맑은 고딕" w:cs="맑은 고딕"/>
                <w:color w:val="000000"/>
                <w:sz w:val="19"/>
              </w:rPr>
              <w:t>시·도지사 또는 대도시의 장은 악취관리지역 외의 지역에 설치된 악취배출시설과 관련하여 악취 관련 민원이 1년 이상 지속되고 복합악취나 지정악취물질이 3회 이상 배출허용기준을 초과하는 경우에는 해당 악취배출시설을 신고대상시설로 지정·고시할 수 있다.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악취방지법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제8조의2 제2항·제3항</w:t>
            </w:r>
          </w:p>
        </w:tc>
        <w:tc>
          <w:tcPr>
            <w:tcW w:type="pct" w:w="3500"/>
          </w:tcPr>
          <w:p>
            <w:pPr>
              <w:autoSpaceDN w:val="0"/>
              <w:autoSpaceDE w:val="0"/>
            </w:pPr>
            <w:r>
              <w:rPr>
                <w:rFonts w:ascii="맑은 고딕" w:hAnsi="맑은 고딕" w:eastAsia="맑은 고딕" w:cs="맑은 고딕"/>
                <w:color w:val="000000"/>
                <w:sz w:val="19"/>
              </w:rPr>
              <w:t>② 지정·고시된 악취배출시설을 운영하는 자는 지정·고시된 날부터 6개월 이내에 시·도지사 또는 대도시의 장에게 신고하여야 한다.</w:t>
            </w:r>
            <w:r>
              <w:rPr>
                <w:rFonts w:ascii="맑은 고딕" w:hAnsi="맑은 고딕" w:eastAsia="맑은 고딕" w:cs="맑은 고딕"/>
                <w:color w:val="000000"/>
                <w:sz w:val="19"/>
              </w:rPr>
              <w:br/>
            </w:r>
            <w:r>
              <w:rPr>
                <w:rFonts w:ascii="맑은 고딕" w:hAnsi="맑은 고딕" w:eastAsia="맑은 고딕" w:cs="맑은 고딕"/>
                <w:color w:val="000000"/>
                <w:sz w:val="19"/>
              </w:rPr>
              <w:t>③ 신고하는 자는 악취방지계획을 수립하여 함께 제출하여야 하며, 지정·고시된 날부터 1년 이내에 악취방지에 필요한 조치를 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악취방지법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제8조의2 제4항</w:t>
            </w:r>
          </w:p>
        </w:tc>
        <w:tc>
          <w:tcPr>
            <w:tcW w:type="pct" w:w="3500"/>
          </w:tcPr>
          <w:p>
            <w:pPr>
              <w:autoSpaceDN w:val="0"/>
              <w:autoSpaceDE w:val="0"/>
            </w:pPr>
            <w:r>
              <w:rPr>
                <w:rFonts w:ascii="맑은 고딕" w:hAnsi="맑은 고딕" w:eastAsia="맑은 고딕" w:cs="맑은 고딕"/>
                <w:color w:val="000000"/>
                <w:sz w:val="19"/>
              </w:rPr>
              <w:t>시·도지사 또는 대도시의 장은 신고 또는 변경신고를 받은 경우 그 내용을 검토하여 이 법에 적합하면 신고를 수리하여야 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악취방지법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제9조 제2항·제3항</w:t>
            </w:r>
          </w:p>
        </w:tc>
        <w:tc>
          <w:tcPr>
            <w:tcW w:type="pct" w:w="3500"/>
          </w:tcPr>
          <w:p>
            <w:pPr>
              <w:autoSpaceDN w:val="0"/>
              <w:autoSpaceDE w:val="0"/>
            </w:pPr>
            <w:r>
              <w:rPr>
                <w:rFonts w:ascii="맑은 고딕" w:hAnsi="맑은 고딕" w:eastAsia="맑은 고딕" w:cs="맑은 고딕"/>
                <w:color w:val="000000"/>
                <w:sz w:val="19"/>
              </w:rPr>
              <w:t>대기환경보전법 제23조에 따른 설치 허가신청 또는 신고를 한 경우 그 서류 제출로 악취배출시설 신고서 제출을 갈음할 수 있고, 시·도지사는 허가·수리 사실을 대도시의 장 등에게 통보하며, 통보를 받은 대도시의 장 등은 확인증을 발급한다.</w:t>
            </w:r>
          </w:p>
        </w:tc>
      </w:tr>
      <w:tr>
        <w:tc>
          <w:tcPr>
            <w:tcW w:type="pct" w:w="1500"/>
            <w:shd w:val="clear" w:color="auto" w:fill="F2F2F2"/>
          </w:tcPr>
          <w:p>
            <w:pPr>
              <w:autoSpaceDN w:val="0"/>
              <w:autoSpaceDE w:val="0"/>
            </w:pPr>
            <w:r>
              <w:rPr>
                <w:rFonts w:ascii="맑은 고딕" w:hAnsi="맑은 고딕" w:eastAsia="맑은 고딕" w:cs="맑은 고딕"/>
                <w:b/>
                <w:color w:val="000000"/>
                <w:sz w:val="19"/>
              </w:rPr>
              <w:t>악취방지법 시행규칙</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제1항 [별표 4]</w:t>
            </w:r>
          </w:p>
        </w:tc>
        <w:tc>
          <w:tcPr>
            <w:tcW w:type="pct" w:w="3500"/>
          </w:tcPr>
          <w:p>
            <w:pPr>
              <w:autoSpaceDN w:val="0"/>
              <w:autoSpaceDE w:val="0"/>
            </w:pPr>
            <w:r>
              <w:rPr>
                <w:rFonts w:ascii="맑은 고딕" w:hAnsi="맑은 고딕" w:eastAsia="맑은 고딕" w:cs="맑은 고딕"/>
                <w:color w:val="000000"/>
                <w:sz w:val="19"/>
              </w:rPr>
              <w:t>악취방지계획에는 악취를 제거할 수 있는 가장 적절한 조치를 포함하여야 한다고 정하고 있다.</w:t>
            </w:r>
          </w:p>
        </w:tc>
      </w:tr>
    </w:tbl>
    <w:p>
      <w:pPr>
        <w:autoSpaceDN w:val="0"/>
        <w:autoSpaceDE w:val="0"/>
        <w:pStyle w:val="note"/>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autoSpaceDN w:val="0"/>
        <w:autoSpaceDE w:val="0"/>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N w:val="0"/>
        <w:autoSpaceDE w:val="0"/>
        <w:spacing w:before="120"/>
      </w:pPr>
      <w:r>
        <w:rPr>
          <w:rFonts w:ascii="맑은 고딕" w:hAnsi="맑은 고딕" w:eastAsia="맑은 고딕" w:cs="맑은 고딕"/>
          <w:color w:val="000000"/>
          <w:sz w:val="18"/>
        </w:rPr>
        <w:t>원문  https://www.law.go.kr/판례/(2020두40327)</w:t>
      </w:r>
    </w:p>
    <w:p>
      <w:pPr>
        <w:autoSpaceDN w:val="0"/>
        <w:autoSpaceDE w:val="0"/>
        <w:spacing w:before="80"/>
      </w:pPr>
      <w:r>
        <w:rPr>
          <w:rFonts w:ascii="맑은 고딕" w:hAnsi="맑은 고딕" w:eastAsia="맑은 고딕" w:cs="맑은 고딕"/>
          <w:color w:val="000000"/>
          <w:sz w:val="18"/>
        </w:rPr>
        <w:t>태그  #대기환경보전법 #악취방지법 #악취배출시설 #수리를요하는신고 #인허가의제 #아스콘 #행정판례 #대법원판례 #2022년판례 #2020두40327 #환경법 #환경인허가 #인허가서대리 #서대리</w:t>
      </w:r>
    </w:p>
    <w:p>
      <w:pPr>
        <w:autoSpaceDN w:val="0"/>
        <w:autoSpaceDE w:val="0"/>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