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pPr>
        <w:autoSpaceDN w:val="0"/>
        <w:autoSpaceDE w:val="0"/>
        <w:spacing w:after="60"/>
      </w:pPr>
      <w:r>
        <w:rPr>
          <w:rFonts w:ascii="맑은 고딕" w:hAnsi="맑은 고딕" w:eastAsia="맑은 고딕" w:cs="맑은 고딕"/>
          <w:b/>
          <w:color w:val="000000"/>
          <w:sz w:val="30"/>
        </w:rPr>
        <w:t>산업단지 입주계약을 해도 건축허가와 개발행위허가는 따로 받아야 합니다. (2021두33883)</w:t>
      </w:r>
    </w:p>
    <w:p>
      <w:pPr>
        <w:autoSpaceDN w:val="0"/>
        <w:autoSpaceDE w:val="0"/>
        <w:pStyle w:val="law1"/>
        <w:spacing w:after="160"/>
      </w:pPr>
      <w:r>
        <w:rPr>
          <w:rFonts w:ascii="맑은 고딕" w:hAnsi="맑은 고딕" w:eastAsia="맑은 고딕" w:cs="맑은 고딕"/>
          <w:color w:val="000000"/>
        </w:rPr>
        <w:t>대법원 2021두33883 (2021.06.24 선고)</w:t>
      </w:r>
    </w:p>
    <w:p>
      <w:pPr>
        <w:autoSpaceDN w:val="0"/>
        <w:autoSpaceDE w:val="0"/>
        <w:spacing w:after="120"/>
      </w:pPr>
      <w:r>
        <w:rPr>
          <w:rFonts w:ascii="맑은 고딕" w:hAnsi="맑은 고딕" w:eastAsia="맑은 고딕" w:cs="맑은 고딕"/>
          <w:color w:val="000000"/>
        </w:rPr>
        <w:t>○ 산업단지 입주계약으로 공장설립 승인이 의제된 사업자가 아스콘 공장 건축허가를 신청했으나 환경오염 우려를 이유로 거부된 사건입니다. 대법원은 입주계약으로 공장설립 승인이 의제되더라도 건축허가와 개발행위허가는 별도로 받아야 하고, 환경오염 우려에 관한 행정청의 재량적 판단은 폭넓게 존중되며 재량권 일탈·남용의 증명책임은 이를 다투는 자에게 있다고 보았습니다.</w:t>
      </w:r>
    </w:p>
    <w:p>
      <w:pPr>
        <w:autoSpaceDN w:val="0"/>
        <w:autoSpaceDE w:val="0"/>
      </w:pP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9026"/>
      </w:tblGrid>
      <w:tr>
        <w:tc>
          <w:tcPr>
            <w:tcW w:type="pct" w:w="5000"/>
            <w:shd w:val="clear" w:color="auto" w:fill="D9D9D9"/>
            <w:tcBorders>
              <w:bottom w:val="double" w:sz="6" w:space="0" w:color="808080"/>
            </w:tcBorders>
          </w:tcPr>
          <w:p>
            <w:pPr>
              <w:autoSpaceDN w:val="0"/>
              <w:autoSpaceDE w:val="0"/>
            </w:pPr>
            <w:r>
              <w:rPr>
                <w:rFonts w:ascii="맑은 고딕" w:hAnsi="맑은 고딕" w:eastAsia="맑은 고딕" w:cs="맑은 고딕"/>
                <w:b/>
                <w:color w:val="000000"/>
                <w:sz w:val="21"/>
              </w:rPr>
              <w:t>※ 간단요약</w:t>
            </w:r>
          </w:p>
        </w:tc>
      </w:tr>
      <w:tr>
        <w:tc>
          <w:tcPr>
            <w:tcW w:type="pct" w:w="5000"/>
            <w:shd w:val="clear" w:color="auto" w:fill="F7F7F7"/>
          </w:tcPr>
          <w:p>
            <w:pPr>
              <w:autoSpaceDN w:val="0"/>
              <w:autoSpaceDE w:val="0"/>
            </w:pPr>
            <w:r>
              <w:rPr>
                <w:rFonts w:ascii="맑은 고딕" w:hAnsi="맑은 고딕" w:eastAsia="맑은 고딕" w:cs="맑은 고딕"/>
                <w:b/>
                <w:color w:val="000000"/>
                <w:sz w:val="19"/>
              </w:rPr>
              <w:t>Q. 산업단지 입주계약을 체결하면 건축허가도 받은 것이 되나요?</w:t>
            </w:r>
          </w:p>
          <w:p>
            <w:pPr>
              <w:autoSpaceDN w:val="0"/>
              <w:autoSpaceDE w:val="0"/>
            </w:pPr>
            <w:r>
              <w:rPr>
                <w:rFonts w:ascii="맑은 고딕" w:hAnsi="맑은 고딕" w:eastAsia="맑은 고딕" w:cs="맑은 고딕"/>
                <w:color w:val="000000"/>
                <w:sz w:val="19"/>
              </w:rPr>
              <w:t>A. 아닙니다. 공장설립 승인이 의제될 뿐이고, 건축법상 건축허가와 국토계획법상 개발행위허가는 별개의 제도이므로 따로 받아야 합니다.</w:t>
            </w:r>
          </w:p>
          <w:p>
            <w:pPr>
              <w:autoSpaceDN w:val="0"/>
              <w:autoSpaceDE w:val="0"/>
            </w:pPr>
          </w:p>
          <w:p>
            <w:pPr>
              <w:autoSpaceDN w:val="0"/>
              <w:autoSpaceDE w:val="0"/>
            </w:pPr>
            <w:r>
              <w:rPr>
                <w:rFonts w:ascii="맑은 고딕" w:hAnsi="맑은 고딕" w:eastAsia="맑은 고딕" w:cs="맑은 고딕"/>
                <w:b/>
                <w:color w:val="000000"/>
                <w:sz w:val="19"/>
              </w:rPr>
              <w:t>Q. 입주계약 당시 아스콘 제조 계획을 밝혔으면 건축허가에 대한 신뢰가 생기나요?</w:t>
            </w:r>
          </w:p>
          <w:p>
            <w:pPr>
              <w:autoSpaceDN w:val="0"/>
              <w:autoSpaceDE w:val="0"/>
            </w:pPr>
            <w:r>
              <w:rPr>
                <w:rFonts w:ascii="맑은 고딕" w:hAnsi="맑은 고딕" w:eastAsia="맑은 고딕" w:cs="맑은 고딕"/>
                <w:color w:val="000000"/>
                <w:sz w:val="19"/>
              </w:rPr>
              <w:t>A. 그렇지 않습니다. 입주계약을 체결하여 공장설립 승인을 받은 것으로 보게 되었더라도 곧바로 건축허가·개발행위허가를 받으리라는 정당한 신뢰를 갖게 된다고 보기 어렵습니다.</w:t>
            </w:r>
          </w:p>
          <w:p>
            <w:pPr>
              <w:autoSpaceDN w:val="0"/>
              <w:autoSpaceDE w:val="0"/>
            </w:pPr>
          </w:p>
          <w:p>
            <w:pPr>
              <w:autoSpaceDN w:val="0"/>
              <w:autoSpaceDE w:val="0"/>
            </w:pPr>
            <w:r>
              <w:rPr>
                <w:rFonts w:ascii="맑은 고딕" w:hAnsi="맑은 고딕" w:eastAsia="맑은 고딕" w:cs="맑은 고딕"/>
                <w:b/>
                <w:color w:val="000000"/>
                <w:sz w:val="19"/>
              </w:rPr>
              <w:t>Q. 사후 규제가 가능하니 일단 허가해야 하는 것 아닌가요?</w:t>
            </w:r>
          </w:p>
          <w:p>
            <w:pPr>
              <w:autoSpaceDN w:val="0"/>
              <w:autoSpaceDE w:val="0"/>
            </w:pPr>
            <w:r>
              <w:rPr>
                <w:rFonts w:ascii="맑은 고딕" w:hAnsi="맑은 고딕" w:eastAsia="맑은 고딕" w:cs="맑은 고딕"/>
                <w:color w:val="000000"/>
                <w:sz w:val="19"/>
              </w:rPr>
              <w:t>A. 환경이 오염되면 원상회복이 거의 불가능한 경우가 많아 사후 규제만으로는 한계가 있으므로, 심각한 오염 우려가 있으면 미리 방지하는 것이 중요합니다.</w:t>
            </w:r>
          </w:p>
        </w:tc>
      </w:tr>
    </w:tbl>
    <w:p>
      <w:pPr>
        <w:autoSpaceDN w:val="0"/>
        <w:autoSpaceDE w:val="0"/>
      </w:pPr>
    </w:p>
    <w:p>
      <w:pPr>
        <w:autoSpaceDN w:val="0"/>
        <w:autoSpaceDE w:val="0"/>
        <w:pStyle w:val="2"/>
      </w:pPr>
      <w:r>
        <w:rPr>
          <w:rFonts w:ascii="맑은 고딕" w:hAnsi="맑은 고딕" w:eastAsia="맑은 고딕" w:cs="맑은 고딕"/>
          <w:color w:val="000000"/>
        </w:rPr>
        <w:t>1. 사건 개요</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200"/>
            <w:shd w:val="clear" w:color="auto" w:fill="F2F2F2"/>
          </w:tcPr>
          <w:p>
            <w:pPr>
              <w:autoSpaceDN w:val="0"/>
              <w:autoSpaceDE w:val="0"/>
            </w:pPr>
            <w:r>
              <w:rPr>
                <w:rFonts w:ascii="맑은 고딕" w:hAnsi="맑은 고딕" w:eastAsia="맑은 고딕" w:cs="맑은 고딕"/>
                <w:b/>
                <w:color w:val="000000"/>
                <w:sz w:val="19"/>
              </w:rPr>
              <w:t>사건번호</w:t>
            </w:r>
          </w:p>
        </w:tc>
        <w:tc>
          <w:tcPr>
            <w:tcW w:type="pct" w:w="3800"/>
          </w:tcPr>
          <w:p>
            <w:pPr>
              <w:autoSpaceDN w:val="0"/>
              <w:autoSpaceDE w:val="0"/>
            </w:pPr>
            <w:r>
              <w:rPr>
                <w:rFonts w:ascii="맑은 고딕" w:hAnsi="맑은 고딕" w:eastAsia="맑은 고딕" w:cs="맑은 고딕"/>
                <w:color w:val="000000"/>
                <w:sz w:val="19"/>
              </w:rPr>
              <w:t>2021두33883</w:t>
            </w:r>
          </w:p>
        </w:tc>
      </w:tr>
      <w:tr>
        <w:tc>
          <w:tcPr>
            <w:tcW w:type="pct" w:w="1200"/>
            <w:shd w:val="clear" w:color="auto" w:fill="F2F2F2"/>
          </w:tcPr>
          <w:p>
            <w:pPr>
              <w:autoSpaceDN w:val="0"/>
              <w:autoSpaceDE w:val="0"/>
            </w:pPr>
            <w:r>
              <w:rPr>
                <w:rFonts w:ascii="맑은 고딕" w:hAnsi="맑은 고딕" w:eastAsia="맑은 고딕" w:cs="맑은 고딕"/>
                <w:b/>
                <w:color w:val="000000"/>
                <w:sz w:val="19"/>
              </w:rPr>
              <w:t>선고일자</w:t>
            </w:r>
          </w:p>
        </w:tc>
        <w:tc>
          <w:tcPr>
            <w:tcW w:type="pct" w:w="3800"/>
          </w:tcPr>
          <w:p>
            <w:pPr>
              <w:autoSpaceDN w:val="0"/>
              <w:autoSpaceDE w:val="0"/>
            </w:pPr>
            <w:r>
              <w:rPr>
                <w:rFonts w:ascii="맑은 고딕" w:hAnsi="맑은 고딕" w:eastAsia="맑은 고딕" w:cs="맑은 고딕"/>
                <w:color w:val="000000"/>
                <w:sz w:val="19"/>
              </w:rPr>
              <w:t>2021.06.24</w:t>
            </w:r>
          </w:p>
        </w:tc>
      </w:tr>
      <w:tr>
        <w:tc>
          <w:tcPr>
            <w:tcW w:type="pct" w:w="1200"/>
            <w:shd w:val="clear" w:color="auto" w:fill="F2F2F2"/>
          </w:tcPr>
          <w:p>
            <w:pPr>
              <w:autoSpaceDN w:val="0"/>
              <w:autoSpaceDE w:val="0"/>
            </w:pPr>
            <w:r>
              <w:rPr>
                <w:rFonts w:ascii="맑은 고딕" w:hAnsi="맑은 고딕" w:eastAsia="맑은 고딕" w:cs="맑은 고딕"/>
                <w:b/>
                <w:color w:val="000000"/>
                <w:sz w:val="19"/>
              </w:rPr>
              <w:t>법원</w:t>
            </w:r>
          </w:p>
        </w:tc>
        <w:tc>
          <w:tcPr>
            <w:tcW w:type="pct" w:w="3800"/>
          </w:tcPr>
          <w:p>
            <w:pPr>
              <w:autoSpaceDN w:val="0"/>
              <w:autoSpaceDE w:val="0"/>
            </w:pPr>
            <w:r>
              <w:rPr>
                <w:rFonts w:ascii="맑은 고딕" w:hAnsi="맑은 고딕" w:eastAsia="맑은 고딕" w:cs="맑은 고딕"/>
                <w:color w:val="000000"/>
                <w:sz w:val="19"/>
              </w:rPr>
              <w:t>대법원</w:t>
            </w:r>
          </w:p>
        </w:tc>
      </w:tr>
      <w:tr>
        <w:tc>
          <w:tcPr>
            <w:tcW w:type="pct" w:w="1200"/>
            <w:shd w:val="clear" w:color="auto" w:fill="F2F2F2"/>
          </w:tcPr>
          <w:p>
            <w:pPr>
              <w:autoSpaceDN w:val="0"/>
              <w:autoSpaceDE w:val="0"/>
            </w:pPr>
            <w:r>
              <w:rPr>
                <w:rFonts w:ascii="맑은 고딕" w:hAnsi="맑은 고딕" w:eastAsia="맑은 고딕" w:cs="맑은 고딕"/>
                <w:b/>
                <w:color w:val="000000"/>
                <w:sz w:val="19"/>
              </w:rPr>
              <w:t>당사자</w:t>
            </w:r>
          </w:p>
        </w:tc>
        <w:tc>
          <w:tcPr>
            <w:tcW w:type="pct" w:w="3800"/>
          </w:tcPr>
          <w:p>
            <w:pPr>
              <w:autoSpaceDN w:val="0"/>
              <w:autoSpaceDE w:val="0"/>
            </w:pPr>
            <w:r>
              <w:rPr>
                <w:rFonts w:ascii="맑은 고딕" w:hAnsi="맑은 고딕" w:eastAsia="맑은 고딕" w:cs="맑은 고딕"/>
                <w:color w:val="000000"/>
                <w:sz w:val="19"/>
              </w:rPr>
              <w:t>원고 ○○○ 주식회사 · 피고 울산광역시 울주군수</w:t>
            </w:r>
          </w:p>
        </w:tc>
      </w:tr>
      <w:tr>
        <w:tc>
          <w:tcPr>
            <w:tcW w:type="pct" w:w="1200"/>
            <w:shd w:val="clear" w:color="auto" w:fill="F2F2F2"/>
          </w:tcPr>
          <w:p>
            <w:pPr>
              <w:autoSpaceDN w:val="0"/>
              <w:autoSpaceDE w:val="0"/>
            </w:pPr>
            <w:r>
              <w:rPr>
                <w:rFonts w:ascii="맑은 고딕" w:hAnsi="맑은 고딕" w:eastAsia="맑은 고딕" w:cs="맑은 고딕"/>
                <w:b/>
                <w:color w:val="000000"/>
                <w:sz w:val="19"/>
              </w:rPr>
              <w:t>사건종류</w:t>
            </w:r>
          </w:p>
        </w:tc>
        <w:tc>
          <w:tcPr>
            <w:tcW w:type="pct" w:w="3800"/>
          </w:tcPr>
          <w:p>
            <w:pPr>
              <w:autoSpaceDN w:val="0"/>
              <w:autoSpaceDE w:val="0"/>
            </w:pPr>
            <w:r>
              <w:rPr>
                <w:rFonts w:ascii="맑은 고딕" w:hAnsi="맑은 고딕" w:eastAsia="맑은 고딕" w:cs="맑은 고딕"/>
                <w:color w:val="000000"/>
                <w:sz w:val="19"/>
              </w:rPr>
              <w:t>일반행정 (건축허가거부처분취소)</w:t>
            </w:r>
          </w:p>
        </w:tc>
      </w:tr>
      <w:tr>
        <w:tc>
          <w:tcPr>
            <w:tcW w:type="pct" w:w="1200"/>
            <w:shd w:val="clear" w:color="auto" w:fill="F2F2F2"/>
          </w:tcPr>
          <w:p>
            <w:pPr>
              <w:autoSpaceDN w:val="0"/>
              <w:autoSpaceDE w:val="0"/>
            </w:pPr>
            <w:r>
              <w:rPr>
                <w:rFonts w:ascii="맑은 고딕" w:hAnsi="맑은 고딕" w:eastAsia="맑은 고딕" w:cs="맑은 고딕"/>
                <w:b/>
                <w:color w:val="000000"/>
                <w:sz w:val="19"/>
              </w:rPr>
              <w:t>원심</w:t>
            </w:r>
          </w:p>
        </w:tc>
        <w:tc>
          <w:tcPr>
            <w:tcW w:type="pct" w:w="3800"/>
          </w:tcPr>
          <w:p>
            <w:pPr>
              <w:autoSpaceDN w:val="0"/>
              <w:autoSpaceDE w:val="0"/>
            </w:pPr>
            <w:r>
              <w:rPr>
                <w:rFonts w:ascii="맑은 고딕" w:hAnsi="맑은 고딕" w:eastAsia="맑은 고딕" w:cs="맑은 고딕"/>
                <w:color w:val="000000"/>
                <w:sz w:val="19"/>
              </w:rPr>
              <w:t>부산고법 2020누20439 (2021. 1. 13.)</w:t>
            </w:r>
          </w:p>
        </w:tc>
      </w:tr>
      <w:tr>
        <w:tc>
          <w:tcPr>
            <w:tcW w:type="pct" w:w="1200"/>
            <w:shd w:val="clear" w:color="auto" w:fill="F2F2F2"/>
          </w:tcPr>
          <w:p>
            <w:pPr>
              <w:autoSpaceDN w:val="0"/>
              <w:autoSpaceDE w:val="0"/>
            </w:pPr>
            <w:r>
              <w:rPr>
                <w:rFonts w:ascii="맑은 고딕" w:hAnsi="맑은 고딕" w:eastAsia="맑은 고딕" w:cs="맑은 고딕"/>
                <w:b/>
                <w:color w:val="000000"/>
                <w:sz w:val="19"/>
              </w:rPr>
              <w:t>결과</w:t>
            </w:r>
          </w:p>
        </w:tc>
        <w:tc>
          <w:tcPr>
            <w:tcW w:type="pct" w:w="3800"/>
          </w:tcPr>
          <w:p>
            <w:pPr>
              <w:autoSpaceDN w:val="0"/>
              <w:autoSpaceDE w:val="0"/>
            </w:pPr>
            <w:r>
              <w:rPr>
                <w:rFonts w:ascii="맑은 고딕" w:hAnsi="맑은 고딕" w:eastAsia="맑은 고딕" w:cs="맑은 고딕"/>
                <w:color w:val="000000"/>
                <w:sz w:val="19"/>
              </w:rPr>
              <w:t>원심 파기환송</w:t>
            </w:r>
          </w:p>
        </w:tc>
      </w:tr>
    </w:tbl>
    <w:p>
      <w:pPr>
        <w:autoSpaceDN w:val="0"/>
        <w:autoSpaceDE w:val="0"/>
      </w:pPr>
    </w:p>
    <w:p>
      <w:pPr>
        <w:autoSpaceDN w:val="0"/>
        <w:autoSpaceDE w:val="0"/>
        <w:pStyle w:val="2"/>
        <w:spacing w:before="80"/>
      </w:pPr>
      <w:r>
        <w:rPr>
          <w:rFonts w:ascii="맑은 고딕" w:hAnsi="맑은 고딕" w:eastAsia="맑은 고딕" w:cs="맑은 고딕"/>
          <w:color w:val="000000"/>
        </w:rPr>
        <w:t>2. 사실관계</w:t>
      </w:r>
    </w:p>
    <w:p>
      <w:pPr>
        <w:autoSpaceDN w:val="0"/>
        <w:autoSpaceDE w:val="0"/>
      </w:pPr>
      <w:r>
        <w:rPr>
          <w:rFonts w:ascii="맑은 고딕" w:hAnsi="맑은 고딕" w:eastAsia="맑은 고딕" w:cs="맑은 고딕"/>
          <w:color w:val="000000"/>
        </w:rPr>
        <w:t>① 울산광역시장은 2008. 1. 17. 울산 울주군 일원을 일반산업단지로 지정하여 개발사업을 시행하였고, 2015. 7. 2. 분양비율을 높이기 위하여 7개 입주제한 업종을 제외한 모든 업종이 입주 가능한 ‘유치업종 미지정 지역’을 두는 것으로 산업단지계획을 변경하였다.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② 원고는 위 유치업종 미지정 지역에 있는 이 사건 공장부지에서 아스콘 공장을 운영하기 위하여 2016. 7. 15. 관리기관인 울산광역시장과 산업집적법에 따른 입주계약을 체결하였다. 이 사건 공장부지는 국토계획법상 일반공업지역에 속한다.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③ 원고는 2018. 1. 17. 건축행정청인 피고에게 이 사건 공장부지에 아스콘 공장(건축면적 2,174.9㎡)을 신축하기 위한 건축허가를 신청하였다.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④ 피고는 2018. 2. 1. 공장부지 인근에 주거지역과 울산 시민의 식수원인 태화강 상류가 있고 아스콘 제조업의 특성상 비산먼지·수질오염·소음 등 환경 문제가 발생할 수 있다는 등의 사유로 건축 불허가 처분을 하였다.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⑤ 원심은 울산광역시장이 작성한 환경보전방안, 원고의 환경오염 방지대책, 공장부지와 주거지역 사이의 국도·방음벽, 사후 제재수단의 존재 등을 이유로 이 사건 처분에 재량권을 일탈·남용한 위법이 있다고 판단하였다.</w:t>
      </w:r>
    </w:p>
    <w:p>
      <w:pPr>
        <w:autoSpaceDN w:val="0"/>
        <w:autoSpaceDE w:val="0"/>
      </w:pPr>
    </w:p>
    <w:p>
      <w:pPr>
        <w:autoSpaceDN w:val="0"/>
        <w:autoSpaceDE w:val="0"/>
        <w:pStyle w:val="2"/>
        <w:spacing w:before="80"/>
      </w:pPr>
      <w:r>
        <w:rPr>
          <w:rFonts w:ascii="맑은 고딕" w:hAnsi="맑은 고딕" w:eastAsia="맑은 고딕" w:cs="맑은 고딕"/>
          <w:color w:val="000000"/>
        </w:rPr>
        <w:t>3. 쟁점</w:t>
      </w:r>
    </w:p>
    <w:p>
      <w:pPr>
        <w:autoSpaceDN w:val="0"/>
        <w:autoSpaceDE w:val="0"/>
      </w:pPr>
      <w:r>
        <w:rPr>
          <w:rFonts w:ascii="맑은 고딕" w:hAnsi="맑은 고딕" w:eastAsia="맑은 고딕" w:cs="맑은 고딕"/>
          <w:color w:val="000000"/>
          <w:u w:val="single"/>
        </w:rPr>
        <w:t>이 사건의 쟁점은, 산업단지 입주계약 체결로 공장설립 승인이 의제되는 경우에도 건축허가와 개발행위허가를 별도로 받아야 하는지 여부와, 환경오염 우려를 처분사유로 하는 불허가처분에 대한 재량권 일탈·남용의 심사 방법 및 그 증명책임의 소재이다.</w:t>
      </w:r>
    </w:p>
    <w:p>
      <w:pPr>
        <w:autoSpaceDN w:val="0"/>
        <w:autoSpaceDE w:val="0"/>
      </w:pPr>
    </w:p>
    <w:p>
      <w:pPr>
        <w:autoSpaceDN w:val="0"/>
        <w:autoSpaceDE w:val="0"/>
        <w:pStyle w:val="2"/>
        <w:spacing w:before="80"/>
      </w:pPr>
      <w:r>
        <w:rPr>
          <w:rFonts w:ascii="맑은 고딕" w:hAnsi="맑은 고딕" w:eastAsia="맑은 고딕" w:cs="맑은 고딕"/>
          <w:color w:val="000000"/>
        </w:rPr>
        <w:t>4. 판단</w:t>
      </w:r>
    </w:p>
    <w:p>
      <w:pPr>
        <w:autoSpaceDN w:val="0"/>
        <w:autoSpaceDE w:val="0"/>
      </w:pPr>
      <w:r>
        <w:rPr>
          <w:rFonts w:ascii="맑은 고딕" w:hAnsi="맑은 고딕" w:eastAsia="맑은 고딕" w:cs="맑은 고딕"/>
          <w:b/>
          <w:color w:val="000000"/>
          <w:u w:val="single"/>
        </w:rPr>
        <w:t>① 원심의 판단 원심은 환경보전방안의 예측 내용, 원고의 환경오염 방지대책, 피고가 객관적·실증적 근거를 제시하지 않은 점, 공장부지와 주거지역 사이의 국도와 방음벽, 사후 제재수단의 존재 등을 이유로 이 사건 처분에 재량권을 일탈·남용한 위법이 있다고 판단하였다.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② 대법원의 판단 그러나 원심의 판단은 다음과 같은 이유로 수긍하기 어렵다.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③ 산업집적법에 따르면 산업단지에서 제조업을 하려는 자가 관리기관과 입주계약을 체결한 때에는 공장설립 승인을 받은 것으로 의제되나, 건축법상 건축허가 또는 국토계획법상 개발행위허가를 받은 것으로 의제하는 규정은 없다. 또한 입주계약은 건축허가나 개발행위허가와는 목적과 취지, 요건과 효과를 달리하는 별개의 제도이므로, 공장건물을 건축하려면 건축허가와 개발행위허가를 받아야 한다.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u w:val="single"/>
        </w:rPr>
        <w:t>④ 국토계획법이 정한 용도지역 내에서의 건축허가는 건축법상 건축허가와 국토계획법상 개발행위허가의 성질을 아울러 가지고 있고, 개발행위허가는 허가기준 및 금지요건이 불확정개념으로 규정된 부분이 많아 그 요건 해당 여부는 행정청의 재량판단의 영역에 속한다.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b/>
          <w:color w:val="000000"/>
          <w:u w:val="single"/>
        </w:rPr>
        <w:t>⑤ ‘환경오염 발생 우려’와 같이 장래에 발생할 불확실한 상황과 파급효과에 대한 예측이 필요한 요건에 관한 행정청의 재량적 판단은, 그 내용이 현저히 합리성을 결여하였다거나 형평이나 비례의 원칙에 뚜렷하게 배치되는 등의 사정이 없는 한 폭넓게 존중하여야 하고, 재량권을 일탈·남용하였다는 사정은 그 처분의 효력을 다투는 자가 주장·증명하여야 한다.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⑥ 아스콘 제조 공정에서 다량의 석유화합물이 배출되리라는 점은 일반인의 상식으로도 쉽게 예상할 수 있으므로, 특별히 정제되거나 가공된 원료를 사용한다거나 특별한 최신 공법을 적용한다는 예외적 사정이 없는 한 아스콘 공장은 대기환경보전법에서 정한 특정대기유해물질 배출시설이라고 볼 수밖에 없다.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⑦ 원고가 제시한 대책은 혼합 공정의 온도를 낮추어 황산화물·질소산화물·탄화수소·미세먼지와 악취를 줄이겠다는 것에 초점이 맞추어져 있을 뿐, 아스콘 공장에서 일반적으로 발생하는 나머지 특정대기유해물질과 대기오염물질의 저감 방안은 제시되어 있지 않아 충분한 대책을 세웠다고 보기 어렵다.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⑧ 공장부지와 주거지역 사이의 국도와 방음벽은 소음을 일부 차단할 수 있을 뿐 대기오염물질의 확산까지 막을 수 있다고 보이지 않고, 지형상 대기오염물질이 인근 주거지역에 장기간 정체·축적될 가능성도 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⑨ 환경이 오염되면 원상회복이 거의 불가능한 경우가 많아 사후 규제만으로는 한계가 있으므로, 식수원인 태화강 상류에 인접하고 주변에 다수 주민이 거주하는 입지를 고려하면 사후 규제수단의 존재만으로 환경오염 우려가 불식된다고 볼 수 없다.</w:t>
      </w:r>
    </w:p>
    <w:p>
      <w:pPr>
        <w:autoSpaceDN w:val="0"/>
        <w:autoSpaceDE w:val="0"/>
      </w:pPr>
    </w:p>
    <w:p>
      <w:pPr>
        <w:autoSpaceDN w:val="0"/>
        <w:autoSpaceDE w:val="0"/>
        <w:pStyle w:val="2"/>
        <w:spacing w:before="80"/>
      </w:pPr>
      <w:r>
        <w:rPr>
          <w:rFonts w:ascii="맑은 고딕" w:hAnsi="맑은 고딕" w:eastAsia="맑은 고딕" w:cs="맑은 고딕"/>
          <w:color w:val="000000"/>
        </w:rPr>
        <w:t>5. 적용 법령</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500"/>
            <w:shd w:val="clear" w:color="auto" w:fill="D9D9D9"/>
            <w:tcBorders>
              <w:bottom w:val="double" w:sz="6" w:space="0" w:color="808080"/>
            </w:tcBorders>
          </w:tcPr>
          <w:p>
            <w:pPr>
              <w:autoSpaceDN w:val="0"/>
              <w:autoSpaceDE w:val="0"/>
            </w:pPr>
            <w:r>
              <w:rPr>
                <w:rFonts w:ascii="맑은 고딕" w:hAnsi="맑은 고딕" w:eastAsia="맑은 고딕" w:cs="맑은 고딕"/>
                <w:b/>
                <w:color w:val="000000"/>
                <w:sz w:val="19"/>
              </w:rPr>
              <w:t>조항</w:t>
            </w:r>
          </w:p>
        </w:tc>
        <w:tc>
          <w:tcPr>
            <w:tcW w:type="pct" w:w="3500"/>
            <w:shd w:val="clear" w:color="auto" w:fill="D9D9D9"/>
            <w:tcBorders>
              <w:bottom w:val="double" w:sz="6" w:space="0" w:color="808080"/>
            </w:tcBorders>
          </w:tcPr>
          <w:p>
            <w:pPr>
              <w:autoSpaceDN w:val="0"/>
              <w:autoSpaceDE w:val="0"/>
            </w:pPr>
            <w:r>
              <w:rPr>
                <w:rFonts w:ascii="맑은 고딕" w:hAnsi="맑은 고딕" w:eastAsia="맑은 고딕" w:cs="맑은 고딕"/>
                <w:b/>
                <w:color w:val="000000"/>
                <w:sz w:val="19"/>
              </w:rPr>
              <w:t>적용 문구</w:t>
            </w:r>
          </w:p>
        </w:tc>
      </w:tr>
      <w:tr>
        <w:tc>
          <w:tcPr>
            <w:tcW w:type="pct" w:w="1500"/>
            <w:shd w:val="clear" w:color="auto" w:fill="F2F2F2"/>
          </w:tcPr>
          <w:p>
            <w:pPr>
              <w:autoSpaceDN w:val="0"/>
              <w:autoSpaceDE w:val="0"/>
            </w:pPr>
            <w:r>
              <w:rPr>
                <w:rFonts w:ascii="맑은 고딕" w:hAnsi="맑은 고딕" w:eastAsia="맑은 고딕" w:cs="맑은 고딕"/>
                <w:b/>
                <w:color w:val="000000"/>
                <w:sz w:val="19"/>
              </w:rPr>
              <w:t>산업집적활성화 및 공장설립에 관한 법률</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제13조 제2항 제2호</w:t>
            </w:r>
          </w:p>
        </w:tc>
        <w:tc>
          <w:tcPr>
            <w:tcW w:type="pct" w:w="3500"/>
          </w:tcPr>
          <w:p>
            <w:pPr>
              <w:autoSpaceDN w:val="0"/>
              <w:autoSpaceDE w:val="0"/>
            </w:pPr>
            <w:r>
              <w:rPr>
                <w:rFonts w:ascii="맑은 고딕" w:hAnsi="맑은 고딕" w:eastAsia="맑은 고딕" w:cs="맑은 고딕"/>
                <w:color w:val="000000"/>
                <w:sz w:val="19"/>
              </w:rPr>
              <w:t>산업단지에서 제조업을 하려는 자가 관리기관과 입주계약을 체결한 경우에는 공장설립 등의 승인을 받은 것으로 본다.</w:t>
            </w:r>
          </w:p>
        </w:tc>
      </w:tr>
      <w:tr>
        <w:tc>
          <w:tcPr>
            <w:tcW w:type="pct" w:w="1500"/>
            <w:shd w:val="clear" w:color="auto" w:fill="F2F2F2"/>
          </w:tcPr>
          <w:p>
            <w:pPr>
              <w:autoSpaceDN w:val="0"/>
              <w:autoSpaceDE w:val="0"/>
            </w:pPr>
            <w:r>
              <w:rPr>
                <w:rFonts w:ascii="맑은 고딕" w:hAnsi="맑은 고딕" w:eastAsia="맑은 고딕" w:cs="맑은 고딕"/>
                <w:b/>
                <w:color w:val="000000"/>
                <w:sz w:val="19"/>
              </w:rPr>
              <w:t>산업집적활성화 및 공장설립에 관한 법률</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제38조 제1항</w:t>
            </w:r>
          </w:p>
        </w:tc>
        <w:tc>
          <w:tcPr>
            <w:tcW w:type="pct" w:w="3500"/>
          </w:tcPr>
          <w:p>
            <w:pPr>
              <w:autoSpaceDN w:val="0"/>
              <w:autoSpaceDE w:val="0"/>
            </w:pPr>
            <w:r>
              <w:rPr>
                <w:rFonts w:ascii="맑은 고딕" w:hAnsi="맑은 고딕" w:eastAsia="맑은 고딕" w:cs="맑은 고딕"/>
                <w:color w:val="000000"/>
                <w:sz w:val="19"/>
              </w:rPr>
              <w:t>산업단지에서 제조업을 하려는 자는 관리기관과 입주계약을 체결하여야 한다.</w:t>
            </w:r>
          </w:p>
        </w:tc>
      </w:tr>
      <w:tr>
        <w:tc>
          <w:tcPr>
            <w:tcW w:type="pct" w:w="1500"/>
            <w:shd w:val="clear" w:color="auto" w:fill="F2F2F2"/>
          </w:tcPr>
          <w:p>
            <w:pPr>
              <w:autoSpaceDN w:val="0"/>
              <w:autoSpaceDE w:val="0"/>
            </w:pPr>
            <w:r>
              <w:rPr>
                <w:rFonts w:ascii="맑은 고딕" w:hAnsi="맑은 고딕" w:eastAsia="맑은 고딕" w:cs="맑은 고딕"/>
                <w:b/>
                <w:color w:val="000000"/>
                <w:sz w:val="19"/>
              </w:rPr>
              <w:t>건축법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제11조 제1항</w:t>
            </w:r>
          </w:p>
        </w:tc>
        <w:tc>
          <w:tcPr>
            <w:tcW w:type="pct" w:w="3500"/>
          </w:tcPr>
          <w:p>
            <w:pPr>
              <w:autoSpaceDN w:val="0"/>
              <w:autoSpaceDE w:val="0"/>
            </w:pPr>
            <w:r>
              <w:rPr>
                <w:rFonts w:ascii="맑은 고딕" w:hAnsi="맑은 고딕" w:eastAsia="맑은 고딕" w:cs="맑은 고딕"/>
                <w:color w:val="000000"/>
                <w:sz w:val="19"/>
              </w:rPr>
              <w:t>건축물을 건축하거나 대수선하려는 자는 특별자치시장·특별자치도지사 또는 시장·군수·구청장의 허가를 받아야 한다.</w:t>
            </w:r>
          </w:p>
        </w:tc>
      </w:tr>
      <w:tr>
        <w:tc>
          <w:tcPr>
            <w:tcW w:type="pct" w:w="1500"/>
            <w:shd w:val="clear" w:color="auto" w:fill="F2F2F2"/>
          </w:tcPr>
          <w:p>
            <w:pPr>
              <w:autoSpaceDN w:val="0"/>
              <w:autoSpaceDE w:val="0"/>
            </w:pPr>
            <w:r>
              <w:rPr>
                <w:rFonts w:ascii="맑은 고딕" w:hAnsi="맑은 고딕" w:eastAsia="맑은 고딕" w:cs="맑은 고딕"/>
                <w:b/>
                <w:color w:val="000000"/>
                <w:sz w:val="19"/>
              </w:rPr>
              <w:t>국토의 계획 및 이용에 관한 법률</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제56조 제1항</w:t>
            </w:r>
          </w:p>
        </w:tc>
        <w:tc>
          <w:tcPr>
            <w:tcW w:type="pct" w:w="3500"/>
          </w:tcPr>
          <w:p>
            <w:pPr>
              <w:autoSpaceDN w:val="0"/>
              <w:autoSpaceDE w:val="0"/>
            </w:pPr>
            <w:r>
              <w:rPr>
                <w:rFonts w:ascii="맑은 고딕" w:hAnsi="맑은 고딕" w:eastAsia="맑은 고딕" w:cs="맑은 고딕"/>
                <w:color w:val="000000"/>
                <w:sz w:val="19"/>
              </w:rPr>
              <w:t>건축물의 건축, 공작물의 설치, 토지의 형질 변경 등 개발행위를 하려는 자는 특별시장·광역시장·시장 또는 군수의 허가를 받아야 한다.</w:t>
            </w:r>
          </w:p>
        </w:tc>
      </w:tr>
      <w:tr>
        <w:tc>
          <w:tcPr>
            <w:tcW w:type="pct" w:w="1500"/>
            <w:shd w:val="clear" w:color="auto" w:fill="F2F2F2"/>
          </w:tcPr>
          <w:p>
            <w:pPr>
              <w:autoSpaceDN w:val="0"/>
              <w:autoSpaceDE w:val="0"/>
            </w:pPr>
            <w:r>
              <w:rPr>
                <w:rFonts w:ascii="맑은 고딕" w:hAnsi="맑은 고딕" w:eastAsia="맑은 고딕" w:cs="맑은 고딕"/>
                <w:b/>
                <w:color w:val="000000"/>
                <w:sz w:val="19"/>
              </w:rPr>
              <w:t>대기환경보전법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제2조 제9호</w:t>
            </w:r>
          </w:p>
        </w:tc>
        <w:tc>
          <w:tcPr>
            <w:tcW w:type="pct" w:w="3500"/>
          </w:tcPr>
          <w:p>
            <w:pPr>
              <w:autoSpaceDN w:val="0"/>
              <w:autoSpaceDE w:val="0"/>
            </w:pPr>
            <w:r>
              <w:rPr>
                <w:rFonts w:ascii="맑은 고딕" w:hAnsi="맑은 고딕" w:eastAsia="맑은 고딕" w:cs="맑은 고딕"/>
                <w:color w:val="000000"/>
                <w:sz w:val="19"/>
              </w:rPr>
              <w:t>‘특정대기유해물질’이란 유해성대기감시물질 중 저농도에서도 장기적인 섭취나 노출에 의하여 사람의 건강이나 동식물의 생육에 위해를 끼칠 수 있어 대기 배출에 대한 관리가 필요하다고 인정된 물질로서 기후에너지환경부령으로 정하는 것을 말한다.</w:t>
            </w:r>
          </w:p>
        </w:tc>
      </w:tr>
      <w:tr>
        <w:tc>
          <w:tcPr>
            <w:tcW w:type="pct" w:w="1500"/>
            <w:shd w:val="clear" w:color="auto" w:fill="F2F2F2"/>
          </w:tcPr>
          <w:p>
            <w:pPr>
              <w:autoSpaceDN w:val="0"/>
              <w:autoSpaceDE w:val="0"/>
            </w:pPr>
            <w:r>
              <w:rPr>
                <w:rFonts w:ascii="맑은 고딕" w:hAnsi="맑은 고딕" w:eastAsia="맑은 고딕" w:cs="맑은 고딕"/>
                <w:b/>
                <w:color w:val="000000"/>
                <w:sz w:val="19"/>
              </w:rPr>
              <w:t>대기환경보전법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제23조 제1항</w:t>
            </w:r>
          </w:p>
        </w:tc>
        <w:tc>
          <w:tcPr>
            <w:tcW w:type="pct" w:w="3500"/>
          </w:tcPr>
          <w:p>
            <w:pPr>
              <w:autoSpaceDN w:val="0"/>
              <w:autoSpaceDE w:val="0"/>
            </w:pPr>
            <w:r>
              <w:rPr>
                <w:rFonts w:ascii="맑은 고딕" w:hAnsi="맑은 고딕" w:eastAsia="맑은 고딕" w:cs="맑은 고딕"/>
                <w:color w:val="000000"/>
                <w:sz w:val="19"/>
              </w:rPr>
              <w:t>배출시설을 설치하려는 자는 대통령령으로 정하는 바에 따라 시·도지사의 허가를 받거나 시·도지사에게 신고하여야 한다.</w:t>
            </w:r>
          </w:p>
        </w:tc>
      </w:tr>
    </w:tbl>
    <w:p>
      <w:pPr>
        <w:autoSpaceDN w:val="0"/>
        <w:autoSpaceDE w:val="0"/>
        <w:pStyle w:val="note"/>
        <w:spacing w:before="80"/>
      </w:pPr>
      <w:r>
        <w:rPr>
          <w:rFonts w:ascii="맑은 고딕" w:hAnsi="맑은 고딕" w:eastAsia="맑은 고딕" w:cs="맑은 고딕"/>
          <w:color w:val="000000"/>
        </w:rPr>
        <w:t>※ ‘적용 문구’는 현행 조문을 요약한 것으로, 구법이 적용된 사건은 당시 조문과 다를 수 있습니다.</w:t>
      </w:r>
    </w:p>
    <w:p>
      <w:pPr>
        <w:autoSpaceDN w:val="0"/>
        <w:autoSpaceDE w:val="0"/>
        <w:pStyle w:val="note"/>
        <w:spacing w:before="120"/>
      </w:pPr>
      <w:r>
        <w:rPr>
          <w:rFonts w:ascii="맑은 고딕" w:hAnsi="맑은 고딕" w:eastAsia="맑은 고딕" w:cs="맑은 고딕"/>
          <w:color w:val="000000"/>
        </w:rPr>
        <w:t>※ 본 정리는 국가법령정보센터 판례를 정리한 참고자료이며, 구체적 사안은 판결 원문과 전문가 검토가 필요합니다.</w:t>
      </w:r>
    </w:p>
    <w:p>
      <w:pPr>
        <w:autoSpaceDN w:val="0"/>
        <w:autoSpaceDE w:val="0"/>
        <w:spacing w:before="120"/>
      </w:pPr>
      <w:r>
        <w:rPr>
          <w:rFonts w:ascii="맑은 고딕" w:hAnsi="맑은 고딕" w:eastAsia="맑은 고딕" w:cs="맑은 고딕"/>
          <w:color w:val="000000"/>
          <w:sz w:val="18"/>
        </w:rPr>
        <w:t>원문  https://www.law.go.kr/판례/(2021두33883)</w:t>
      </w:r>
    </w:p>
    <w:p>
      <w:pPr>
        <w:autoSpaceDN w:val="0"/>
        <w:autoSpaceDE w:val="0"/>
        <w:spacing w:before="80"/>
      </w:pPr>
      <w:r>
        <w:rPr>
          <w:rFonts w:ascii="맑은 고딕" w:hAnsi="맑은 고딕" w:eastAsia="맑은 고딕" w:cs="맑은 고딕"/>
          <w:color w:val="000000"/>
          <w:sz w:val="18"/>
        </w:rPr>
        <w:t>태그  #대기환경보전법 #아스콘 #특정대기유해물질 #건축허가 #개발행위허가 #산업단지입주계약 #행정판례 #대법원판례 #2021년판례 #2021두33883 #환경법 #환경인허가 #인허가서대리 #서대리</w:t>
      </w:r>
    </w:p>
    <w:p>
      <w:pPr>
        <w:autoSpaceDN w:val="0"/>
        <w:autoSpaceDE w:val="0"/>
        <w:pStyle w:val="mark"/>
      </w:pPr>
      <w:r>
        <w:rPr>
          <w:rFonts w:ascii="맑은 고딕" w:hAnsi="맑은 고딕" w:eastAsia="맑은 고딕" w:cs="맑은 고딕"/>
          <w:color w:val="000000"/>
        </w:rPr>
        <w:t>인허가 서대리  https://seodaeri.com/</w:t>
      </w:r>
    </w:p>
    <w:sectPr w:rsidR="00B27BFC">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25019F" w14:textId="77777777" w:rsidR="00B27BFC" w:rsidRDefault="00B27BFC" w:rsidP="00F52617">
      <w:r>
        <w:separator/>
      </w:r>
    </w:p>
  </w:endnote>
  <w:endnote w:type="continuationSeparator" w:id="0">
    <w:p w14:paraId="7974C6BA" w14:textId="77777777" w:rsidR="00B27BFC" w:rsidRDefault="00B27BFC" w:rsidP="00F526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AD215" w14:textId="77777777" w:rsidR="00B27BFC" w:rsidRDefault="00B27BFC" w:rsidP="00F52617">
      <w:r>
        <w:separator/>
      </w:r>
    </w:p>
  </w:footnote>
  <w:footnote w:type="continuationSeparator" w:id="0">
    <w:p w14:paraId="7300C114" w14:textId="77777777" w:rsidR="00B27BFC" w:rsidRDefault="00B27BFC" w:rsidP="00F526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EB13F6"/>
    <w:multiLevelType w:val="multilevel"/>
    <w:tmpl w:val="EF2AA2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D8A3F22"/>
    <w:multiLevelType w:val="multilevel"/>
    <w:tmpl w:val="801AD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0AF3513"/>
    <w:multiLevelType w:val="multilevel"/>
    <w:tmpl w:val="A90A5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B35387B"/>
    <w:multiLevelType w:val="multilevel"/>
    <w:tmpl w:val="0E32E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2799665">
    <w:abstractNumId w:val="2"/>
  </w:num>
  <w:num w:numId="2" w16cid:durableId="1051461951">
    <w:abstractNumId w:val="0"/>
  </w:num>
  <w:num w:numId="3" w16cid:durableId="1212620573">
    <w:abstractNumId w:val="3"/>
  </w:num>
  <w:num w:numId="4" w16cid:durableId="6274003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80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useFELayou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52617"/>
    <w:rsid w:val="00A42A17"/>
    <w:rsid w:val="00B27BFC"/>
    <w:rsid w:val="00F5261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F796CA"/>
  <w15:chartTrackingRefBased/>
  <w15:docId w15:val="{AB8F6F78-766D-4920-A396-8027FE2C1B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굴림" w:eastAsia="굴림" w:hAnsi="굴림" w:cs="굴림"/>
      <w:sz w:val="24"/>
      <w:szCs w:val="24"/>
    </w:rPr>
  </w:style>
  <w:style w:type="paragraph" w:styleId="1">
    <w:name w:val="heading 1"/>
    <w:basedOn w:val="a"/>
    <w:link w:val="1Char"/>
    <w:uiPriority w:val="9"/>
    <w:qFormat/>
    <w:pPr>
      <w:spacing w:before="100" w:beforeAutospacing="1" w:after="100" w:afterAutospacing="1"/>
      <w:outlineLvl w:val="0"/>
    </w:pPr>
    <w:rPr>
      <w:b/>
      <w:bCs/>
      <w:kern w:val="36"/>
      <w:sz w:val="48"/>
      <w:szCs w:val="48"/>
    </w:rPr>
  </w:style>
  <w:style w:type="paragraph" w:styleId="2">
    <w:name w:val="heading 2"/>
    <w:basedOn w:val="a"/>
    <w:link w:val="2Char"/>
    <w:uiPriority w:val="9"/>
    <w:qFormat/>
    <w:pPr>
      <w:spacing w:before="450" w:after="150"/>
      <w:outlineLvl w:val="1"/>
    </w:pPr>
    <w:rPr>
      <w:b/>
      <w:bCs/>
      <w:sz w:val="23"/>
      <w:szCs w:val="23"/>
    </w:rPr>
  </w:style>
  <w:style w:type="paragraph" w:styleId="3">
    <w:name w:val="heading 3"/>
    <w:basedOn w:val="a"/>
    <w:link w:val="3Char"/>
    <w:uiPriority w:val="9"/>
    <w:qFormat/>
    <w:pPr>
      <w:spacing w:before="165" w:after="75"/>
      <w:outlineLvl w:val="2"/>
    </w:pPr>
    <w:rPr>
      <w:b/>
      <w:bCs/>
      <w:sz w:val="20"/>
      <w:szCs w:val="20"/>
    </w:rPr>
  </w:style>
  <w:style w:type="paragraph" w:styleId="4">
    <w:name w:val="heading 4"/>
    <w:basedOn w:val="a"/>
    <w:link w:val="4Char"/>
    <w:uiPriority w:val="9"/>
    <w:qFormat/>
    <w:pPr>
      <w:spacing w:before="210" w:after="75"/>
      <w:outlineLvl w:val="3"/>
    </w:pPr>
    <w:rPr>
      <w:b/>
      <w:bCs/>
      <w:sz w:val="19"/>
      <w:szCs w:val="1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trPr>
      <w:hidden/>
    </w:trPr>
  </w:style>
  <w:style w:type="numbering" w:default="1" w:styleId="a2">
    <w:name w:val="No List"/>
    <w:uiPriority w:val="99"/>
    <w:semiHidden/>
    <w:unhideWhenUsed/>
  </w:style>
  <w:style w:type="character" w:customStyle="1" w:styleId="1Char">
    <w:name w:val="제목 1 Char"/>
    <w:basedOn w:val="a0"/>
    <w:link w:val="1"/>
    <w:uiPriority w:val="9"/>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Pr>
      <w:rFonts w:asciiTheme="majorHAnsi" w:eastAsiaTheme="majorEastAsia" w:hAnsiTheme="majorHAnsi" w:cstheme="majorBidi"/>
      <w:color w:val="000000" w:themeColor="text1"/>
      <w:sz w:val="24"/>
      <w:szCs w:val="24"/>
    </w:rPr>
  </w:style>
  <w:style w:type="character" w:customStyle="1" w:styleId="4Char">
    <w:name w:val="제목 4 Char"/>
    <w:basedOn w:val="a0"/>
    <w:link w:val="4"/>
    <w:uiPriority w:val="9"/>
    <w:semiHidden/>
    <w:rPr>
      <w:rFonts w:asciiTheme="majorHAnsi" w:eastAsiaTheme="majorEastAsia" w:hAnsiTheme="majorHAnsi" w:cstheme="majorBidi"/>
      <w:color w:val="000000" w:themeColor="text1"/>
      <w:sz w:val="24"/>
      <w:szCs w:val="24"/>
    </w:rPr>
  </w:style>
  <w:style w:type="paragraph" w:customStyle="1" w:styleId="msonormal0">
    <w:name w:val="msonormal"/>
    <w:basedOn w:val="a"/>
    <w:pPr>
      <w:spacing w:before="100" w:beforeAutospacing="1" w:after="100" w:afterAutospacing="1"/>
    </w:pPr>
  </w:style>
  <w:style w:type="paragraph" w:styleId="a3">
    <w:name w:val="Normal (Web)"/>
    <w:basedOn w:val="a"/>
    <w:uiPriority w:val="99"/>
    <w:semiHidden/>
    <w:unhideWhenUsed/>
    <w:pPr>
      <w:spacing w:before="100" w:beforeAutospacing="1" w:after="100" w:afterAutospacing="1"/>
    </w:pPr>
  </w:style>
  <w:style w:type="paragraph" w:customStyle="1" w:styleId="page">
    <w:name w:val="page"/>
    <w:basedOn w:val="a"/>
    <w:pPr>
      <w:shd w:val="clear" w:color="auto" w:fill="FFFFFF"/>
    </w:pPr>
  </w:style>
  <w:style w:type="paragraph" w:customStyle="1" w:styleId="toolbar">
    <w:name w:val="toolbar"/>
    <w:basedOn w:val="a"/>
    <w:pPr>
      <w:jc w:val="right"/>
    </w:pPr>
    <w:rPr>
      <w:vanish/>
    </w:rPr>
  </w:style>
  <w:style w:type="paragraph" w:customStyle="1" w:styleId="btn">
    <w:name w:val="btn"/>
    <w:basedOn w:val="a"/>
    <w:pPr>
      <w:pBdr>
        <w:top w:val="single" w:sz="6" w:space="4" w:color="999999"/>
        <w:left w:val="single" w:sz="6" w:space="11" w:color="999999"/>
        <w:bottom w:val="single" w:sz="6" w:space="4" w:color="999999"/>
        <w:right w:val="single" w:sz="6" w:space="11" w:color="999999"/>
      </w:pBdr>
      <w:shd w:val="clear" w:color="auto" w:fill="FFFFFF"/>
      <w:spacing w:before="100" w:beforeAutospacing="1" w:after="100" w:afterAutospacing="1"/>
    </w:pPr>
    <w:rPr>
      <w:color w:val="333333"/>
      <w:sz w:val="18"/>
      <w:szCs w:val="18"/>
    </w:rPr>
  </w:style>
  <w:style w:type="paragraph" w:customStyle="1" w:styleId="doc-head">
    <w:name w:val="doc-head"/>
    <w:basedOn w:val="a"/>
    <w:pPr>
      <w:spacing w:before="100" w:beforeAutospacing="1" w:after="270"/>
      <w:jc w:val="center"/>
    </w:pPr>
  </w:style>
  <w:style w:type="paragraph" w:customStyle="1" w:styleId="bt">
    <w:name w:val="bt"/>
    <w:basedOn w:val="a"/>
    <w:pPr>
      <w:spacing w:before="75" w:after="45"/>
    </w:pPr>
    <w:rPr>
      <w:sz w:val="19"/>
      <w:szCs w:val="19"/>
    </w:rPr>
  </w:style>
  <w:style w:type="paragraph" w:customStyle="1" w:styleId="law-box">
    <w:name w:val="law-box"/>
    <w:basedOn w:val="a"/>
    <w:pPr>
      <w:shd w:val="clear" w:color="auto" w:fill="FBFBFB"/>
      <w:spacing w:before="120" w:after="60"/>
    </w:pPr>
  </w:style>
  <w:style w:type="paragraph" w:customStyle="1" w:styleId="note">
    <w:name w:val="note"/>
    <w:basedOn w:val="a"/>
    <w:pPr>
      <w:spacing w:before="105"/>
      <w:ind w:hanging="225"/>
    </w:pPr>
    <w:rPr>
      <w:b/>
      <w:bCs/>
      <w:sz w:val="19"/>
      <w:szCs w:val="19"/>
    </w:rPr>
  </w:style>
  <w:style w:type="paragraph" w:customStyle="1" w:styleId="src">
    <w:name w:val="src"/>
    <w:basedOn w:val="a"/>
    <w:pPr>
      <w:spacing w:before="90"/>
    </w:pPr>
    <w:rPr>
      <w:sz w:val="17"/>
      <w:szCs w:val="17"/>
    </w:rPr>
  </w:style>
  <w:style w:type="paragraph" w:customStyle="1" w:styleId="mark">
    <w:name w:val="mark"/>
    <w:basedOn w:val="a"/>
    <w:pPr>
      <w:spacing w:before="90"/>
      <w:jc w:val="right"/>
    </w:pPr>
    <w:rPr>
      <w:b/>
      <w:bCs/>
      <w:color w:val="9A9A9A"/>
      <w:spacing w:val="3"/>
      <w:sz w:val="17"/>
      <w:szCs w:val="17"/>
    </w:rPr>
  </w:style>
  <w:style w:type="paragraph" w:customStyle="1" w:styleId="runfoot">
    <w:name w:val="runfoot"/>
    <w:basedOn w:val="a"/>
    <w:pPr>
      <w:spacing w:before="240" w:after="100" w:afterAutospacing="1"/>
    </w:pPr>
    <w:rPr>
      <w:b/>
      <w:bCs/>
      <w:color w:val="666666"/>
      <w:sz w:val="17"/>
      <w:szCs w:val="17"/>
    </w:rPr>
  </w:style>
  <w:style w:type="paragraph" w:customStyle="1" w:styleId="sm">
    <w:name w:val="sm"/>
    <w:basedOn w:val="a"/>
    <w:pPr>
      <w:spacing w:before="100" w:beforeAutospacing="1" w:after="100" w:afterAutospacing="1"/>
    </w:pPr>
  </w:style>
  <w:style w:type="paragraph" w:customStyle="1" w:styleId="law">
    <w:name w:val="law"/>
    <w:basedOn w:val="a"/>
    <w:pPr>
      <w:spacing w:before="100" w:beforeAutospacing="1" w:after="100" w:afterAutospacing="1"/>
    </w:pPr>
  </w:style>
  <w:style w:type="paragraph" w:customStyle="1" w:styleId="rule">
    <w:name w:val="rule"/>
    <w:basedOn w:val="a"/>
    <w:pPr>
      <w:spacing w:before="100" w:beforeAutospacing="1" w:after="100" w:afterAutospacing="1"/>
    </w:pPr>
  </w:style>
  <w:style w:type="paragraph" w:customStyle="1" w:styleId="sep">
    <w:name w:val="sep"/>
    <w:basedOn w:val="a"/>
    <w:pPr>
      <w:spacing w:before="100" w:beforeAutospacing="1" w:after="100" w:afterAutospacing="1"/>
    </w:pPr>
  </w:style>
  <w:style w:type="paragraph" w:customStyle="1" w:styleId="grp">
    <w:name w:val="grp"/>
    <w:basedOn w:val="a"/>
    <w:pPr>
      <w:spacing w:before="100" w:beforeAutospacing="1" w:after="100" w:afterAutospacing="1"/>
    </w:pPr>
  </w:style>
  <w:style w:type="paragraph" w:customStyle="1" w:styleId="v">
    <w:name w:val="v"/>
    <w:basedOn w:val="a"/>
    <w:pPr>
      <w:spacing w:before="100" w:beforeAutospacing="1" w:after="100" w:afterAutospacing="1"/>
    </w:pPr>
  </w:style>
  <w:style w:type="paragraph" w:customStyle="1" w:styleId="ctr">
    <w:name w:val="ctr"/>
    <w:basedOn w:val="a"/>
    <w:pPr>
      <w:spacing w:before="100" w:beforeAutospacing="1" w:after="100" w:afterAutospacing="1"/>
    </w:pPr>
  </w:style>
  <w:style w:type="paragraph" w:customStyle="1" w:styleId="key">
    <w:name w:val="key"/>
    <w:basedOn w:val="a"/>
    <w:pPr>
      <w:spacing w:before="100" w:beforeAutospacing="1" w:after="100" w:afterAutospacing="1"/>
    </w:pPr>
  </w:style>
  <w:style w:type="paragraph" w:customStyle="1" w:styleId="lw">
    <w:name w:val="lw"/>
    <w:basedOn w:val="a"/>
    <w:pPr>
      <w:spacing w:before="100" w:beforeAutospacing="1" w:after="100" w:afterAutospacing="1"/>
    </w:pPr>
  </w:style>
  <w:style w:type="paragraph" w:customStyle="1" w:styleId="na">
    <w:name w:val="na"/>
    <w:basedOn w:val="a"/>
    <w:pPr>
      <w:spacing w:before="100" w:beforeAutospacing="1" w:after="100" w:afterAutospacing="1"/>
    </w:pPr>
  </w:style>
  <w:style w:type="paragraph" w:customStyle="1" w:styleId="cite">
    <w:name w:val="cite"/>
    <w:basedOn w:val="a"/>
    <w:pPr>
      <w:spacing w:before="100" w:beforeAutospacing="1" w:after="100" w:afterAutospacing="1"/>
    </w:pPr>
  </w:style>
  <w:style w:type="paragraph" w:customStyle="1" w:styleId="body">
    <w:name w:val="body"/>
    <w:basedOn w:val="a"/>
    <w:pPr>
      <w:spacing w:before="100" w:beforeAutospacing="1" w:after="100" w:afterAutospacing="1"/>
    </w:pPr>
  </w:style>
  <w:style w:type="paragraph" w:customStyle="1" w:styleId="u">
    <w:name w:val="u"/>
    <w:basedOn w:val="a"/>
    <w:pPr>
      <w:spacing w:before="100" w:beforeAutospacing="1" w:after="100" w:afterAutospacing="1"/>
    </w:pPr>
  </w:style>
  <w:style w:type="paragraph" w:customStyle="1" w:styleId="brand">
    <w:name w:val="brand"/>
    <w:basedOn w:val="a"/>
    <w:pPr>
      <w:spacing w:before="100" w:beforeAutospacing="1" w:after="100" w:afterAutospacing="1"/>
    </w:pPr>
  </w:style>
  <w:style w:type="paragraph" w:customStyle="1" w:styleId="url">
    <w:name w:val="url"/>
    <w:basedOn w:val="a"/>
    <w:pPr>
      <w:spacing w:before="100" w:beforeAutospacing="1" w:after="100" w:afterAutospacing="1"/>
    </w:pPr>
  </w:style>
  <w:style w:type="paragraph" w:customStyle="1" w:styleId="ho">
    <w:name w:val="ho"/>
    <w:basedOn w:val="a"/>
    <w:pPr>
      <w:spacing w:before="100" w:beforeAutospacing="1" w:after="100" w:afterAutospacing="1"/>
    </w:pPr>
  </w:style>
  <w:style w:type="paragraph" w:customStyle="1" w:styleId="mok">
    <w:name w:val="mok"/>
    <w:basedOn w:val="a"/>
    <w:pPr>
      <w:spacing w:before="100" w:beforeAutospacing="1" w:after="100" w:afterAutospacing="1"/>
    </w:pPr>
  </w:style>
  <w:style w:type="paragraph" w:customStyle="1" w:styleId="amend">
    <w:name w:val="amend"/>
    <w:basedOn w:val="a"/>
    <w:pPr>
      <w:spacing w:before="100" w:beforeAutospacing="1" w:after="100" w:afterAutospacing="1"/>
    </w:pPr>
  </w:style>
  <w:style w:type="paragraph" w:customStyle="1" w:styleId="bigo-t">
    <w:name w:val="bigo-t"/>
    <w:basedOn w:val="a"/>
    <w:pPr>
      <w:spacing w:before="100" w:beforeAutospacing="1" w:after="100" w:afterAutospacing="1"/>
    </w:pPr>
  </w:style>
  <w:style w:type="paragraph" w:customStyle="1" w:styleId="eq">
    <w:name w:val="eq"/>
    <w:basedOn w:val="a"/>
    <w:pPr>
      <w:spacing w:before="100" w:beforeAutospacing="1" w:after="100" w:afterAutospacing="1"/>
    </w:pPr>
  </w:style>
  <w:style w:type="paragraph" w:customStyle="1" w:styleId="law1">
    <w:name w:val="law1"/>
    <w:basedOn w:val="a"/>
    <w:pPr>
      <w:spacing w:after="180"/>
    </w:pPr>
    <w:rPr>
      <w:sz w:val="19"/>
      <w:szCs w:val="19"/>
    </w:rPr>
  </w:style>
  <w:style w:type="paragraph" w:customStyle="1" w:styleId="rule1">
    <w:name w:val="rule1"/>
    <w:basedOn w:val="a"/>
  </w:style>
  <w:style w:type="paragraph" w:customStyle="1" w:styleId="sm1">
    <w:name w:val="sm1"/>
    <w:basedOn w:val="a"/>
    <w:pPr>
      <w:spacing w:before="100" w:beforeAutospacing="1" w:after="100" w:afterAutospacing="1"/>
      <w:ind w:left="90"/>
    </w:pPr>
    <w:rPr>
      <w:sz w:val="17"/>
      <w:szCs w:val="17"/>
    </w:rPr>
  </w:style>
  <w:style w:type="paragraph" w:customStyle="1" w:styleId="sep1">
    <w:name w:val="sep1"/>
    <w:basedOn w:val="a"/>
    <w:pPr>
      <w:pBdr>
        <w:left w:val="single" w:sz="6" w:space="0" w:color="E0E0E0"/>
      </w:pBdr>
      <w:spacing w:before="100" w:beforeAutospacing="1" w:after="100" w:afterAutospacing="1"/>
    </w:pPr>
  </w:style>
  <w:style w:type="paragraph" w:customStyle="1" w:styleId="grp1">
    <w:name w:val="grp1"/>
    <w:basedOn w:val="a"/>
    <w:pPr>
      <w:shd w:val="clear" w:color="auto" w:fill="F5F5F5"/>
      <w:spacing w:before="100" w:beforeAutospacing="1" w:after="100" w:afterAutospacing="1"/>
      <w:jc w:val="center"/>
      <w:textAlignment w:val="center"/>
    </w:pPr>
    <w:rPr>
      <w:b/>
      <w:bCs/>
    </w:rPr>
  </w:style>
  <w:style w:type="paragraph" w:customStyle="1" w:styleId="v1">
    <w:name w:val="v1"/>
    <w:basedOn w:val="a"/>
    <w:pPr>
      <w:spacing w:before="100" w:beforeAutospacing="1" w:after="100" w:afterAutospacing="1"/>
      <w:textAlignment w:val="center"/>
    </w:pPr>
  </w:style>
  <w:style w:type="paragraph" w:customStyle="1" w:styleId="ctr1">
    <w:name w:val="ctr1"/>
    <w:basedOn w:val="a"/>
    <w:pPr>
      <w:spacing w:before="100" w:beforeAutospacing="1" w:after="100" w:afterAutospacing="1"/>
      <w:jc w:val="center"/>
    </w:pPr>
  </w:style>
  <w:style w:type="paragraph" w:customStyle="1" w:styleId="key1">
    <w:name w:val="key1"/>
    <w:basedOn w:val="a"/>
    <w:pPr>
      <w:spacing w:before="100" w:beforeAutospacing="1" w:after="100" w:afterAutospacing="1"/>
    </w:pPr>
    <w:rPr>
      <w:b/>
      <w:bCs/>
    </w:rPr>
  </w:style>
  <w:style w:type="paragraph" w:customStyle="1" w:styleId="lw1">
    <w:name w:val="lw1"/>
    <w:basedOn w:val="a"/>
    <w:pPr>
      <w:spacing w:before="100" w:beforeAutospacing="1" w:after="100" w:afterAutospacing="1"/>
      <w:ind w:left="60"/>
    </w:pPr>
    <w:rPr>
      <w:sz w:val="17"/>
      <w:szCs w:val="17"/>
    </w:rPr>
  </w:style>
  <w:style w:type="paragraph" w:customStyle="1" w:styleId="na1">
    <w:name w:val="na1"/>
    <w:basedOn w:val="a"/>
    <w:pPr>
      <w:spacing w:before="100" w:beforeAutospacing="1" w:after="100" w:afterAutospacing="1"/>
    </w:pPr>
    <w:rPr>
      <w:color w:val="8A8A8A"/>
    </w:rPr>
  </w:style>
  <w:style w:type="paragraph" w:customStyle="1" w:styleId="cite1">
    <w:name w:val="cite1"/>
    <w:basedOn w:val="a"/>
    <w:pPr>
      <w:spacing w:after="90"/>
    </w:pPr>
    <w:rPr>
      <w:b/>
      <w:bCs/>
      <w:sz w:val="17"/>
      <w:szCs w:val="17"/>
    </w:rPr>
  </w:style>
  <w:style w:type="paragraph" w:customStyle="1" w:styleId="body1">
    <w:name w:val="body1"/>
    <w:basedOn w:val="a"/>
    <w:pPr>
      <w:spacing w:before="100" w:beforeAutospacing="1" w:after="100" w:afterAutospacing="1"/>
    </w:pPr>
    <w:rPr>
      <w:color w:val="000000"/>
      <w:sz w:val="19"/>
      <w:szCs w:val="19"/>
    </w:rPr>
  </w:style>
  <w:style w:type="paragraph" w:customStyle="1" w:styleId="ho1">
    <w:name w:val="ho1"/>
    <w:basedOn w:val="a"/>
    <w:pPr>
      <w:spacing w:after="75"/>
    </w:pPr>
  </w:style>
  <w:style w:type="paragraph" w:customStyle="1" w:styleId="mok1">
    <w:name w:val="mok1"/>
    <w:basedOn w:val="a"/>
    <w:pPr>
      <w:spacing w:after="75"/>
    </w:pPr>
  </w:style>
  <w:style w:type="paragraph" w:customStyle="1" w:styleId="amend1">
    <w:name w:val="amend1"/>
    <w:basedOn w:val="a"/>
    <w:pPr>
      <w:spacing w:after="75"/>
    </w:pPr>
    <w:rPr>
      <w:sz w:val="16"/>
      <w:szCs w:val="16"/>
    </w:rPr>
  </w:style>
  <w:style w:type="paragraph" w:customStyle="1" w:styleId="bigo-t1">
    <w:name w:val="bigo-t1"/>
    <w:basedOn w:val="a"/>
    <w:pPr>
      <w:spacing w:before="120" w:after="45"/>
    </w:pPr>
    <w:rPr>
      <w:rFonts w:ascii="맑은 고딕" w:eastAsia="맑은 고딕" w:hAnsi="맑은 고딕"/>
      <w:b/>
      <w:bCs/>
      <w:sz w:val="17"/>
      <w:szCs w:val="17"/>
    </w:rPr>
  </w:style>
  <w:style w:type="paragraph" w:customStyle="1" w:styleId="eq1">
    <w:name w:val="eq1"/>
    <w:basedOn w:val="a"/>
    <w:pPr>
      <w:spacing w:before="75" w:after="75"/>
    </w:pPr>
  </w:style>
  <w:style w:type="paragraph" w:customStyle="1" w:styleId="u1">
    <w:name w:val="u1"/>
    <w:basedOn w:val="a"/>
    <w:pPr>
      <w:spacing w:before="100" w:beforeAutospacing="1" w:after="100" w:afterAutospacing="1"/>
      <w:ind w:left="60"/>
    </w:pPr>
    <w:rPr>
      <w:b/>
      <w:bCs/>
      <w:color w:val="B0B0B0"/>
    </w:rPr>
  </w:style>
  <w:style w:type="paragraph" w:customStyle="1" w:styleId="brand1">
    <w:name w:val="brand1"/>
    <w:basedOn w:val="a"/>
    <w:pPr>
      <w:spacing w:before="100" w:beforeAutospacing="1" w:after="100" w:afterAutospacing="1"/>
    </w:pPr>
    <w:rPr>
      <w:b/>
      <w:bCs/>
      <w:color w:val="555555"/>
    </w:rPr>
  </w:style>
  <w:style w:type="paragraph" w:customStyle="1" w:styleId="url1">
    <w:name w:val="url1"/>
    <w:basedOn w:val="a"/>
    <w:pPr>
      <w:spacing w:before="100" w:beforeAutospacing="1" w:after="100" w:afterAutospacing="1"/>
    </w:pPr>
    <w:rPr>
      <w:color w:val="777777"/>
    </w:rPr>
  </w:style>
  <w:style w:type="character" w:customStyle="1" w:styleId="amend2">
    <w:name w:val="amend2"/>
    <w:basedOn w:val="a0"/>
    <w:rPr>
      <w:sz w:val="16"/>
      <w:szCs w:val="16"/>
    </w:rPr>
  </w:style>
  <w:style w:type="paragraph" w:styleId="a4">
    <w:name w:val="header"/>
    <w:basedOn w:val="a"/>
    <w:link w:val="Char"/>
    <w:uiPriority w:val="99"/>
    <w:unhideWhenUsed/>
    <w:rsid w:val="00F52617"/>
    <w:pPr>
      <w:tabs>
        <w:tab w:val="center" w:pos="4513"/>
        <w:tab w:val="right" w:pos="9026"/>
      </w:tabs>
      <w:snapToGrid w:val="0"/>
    </w:pPr>
  </w:style>
  <w:style w:type="character" w:customStyle="1" w:styleId="Char">
    <w:name w:val="머리글 Char"/>
    <w:basedOn w:val="a0"/>
    <w:link w:val="a4"/>
    <w:uiPriority w:val="99"/>
    <w:rsid w:val="00F52617"/>
    <w:rPr>
      <w:rFonts w:ascii="굴림" w:eastAsia="굴림" w:hAnsi="굴림" w:cs="굴림"/>
      <w:sz w:val="24"/>
      <w:szCs w:val="24"/>
    </w:rPr>
  </w:style>
  <w:style w:type="paragraph" w:styleId="a5">
    <w:name w:val="footer"/>
    <w:basedOn w:val="a"/>
    <w:link w:val="Char0"/>
    <w:uiPriority w:val="99"/>
    <w:unhideWhenUsed/>
    <w:rsid w:val="00F52617"/>
    <w:pPr>
      <w:tabs>
        <w:tab w:val="center" w:pos="4513"/>
        <w:tab w:val="right" w:pos="9026"/>
      </w:tabs>
      <w:snapToGrid w:val="0"/>
    </w:pPr>
  </w:style>
  <w:style w:type="character" w:customStyle="1" w:styleId="Char0">
    <w:name w:val="바닥글 Char"/>
    <w:basedOn w:val="a0"/>
    <w:link w:val="a5"/>
    <w:uiPriority w:val="99"/>
    <w:rsid w:val="00F52617"/>
    <w:rPr>
      <w:rFonts w:ascii="굴림" w:eastAsia="굴림" w:hAnsi="굴림" w:cs="굴림"/>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857381">
      <w:marLeft w:val="0"/>
      <w:marRight w:val="0"/>
      <w:marTop w:val="0"/>
      <w:marBottom w:val="0"/>
      <w:divBdr>
        <w:top w:val="none" w:sz="0" w:space="0" w:color="auto"/>
        <w:left w:val="none" w:sz="0" w:space="0" w:color="auto"/>
        <w:bottom w:val="none" w:sz="0" w:space="0" w:color="auto"/>
        <w:right w:val="none" w:sz="0" w:space="0" w:color="auto"/>
      </w:divBdr>
      <w:divsChild>
        <w:div w:id="62219238">
          <w:marLeft w:val="0"/>
          <w:marRight w:val="0"/>
          <w:marTop w:val="0"/>
          <w:marBottom w:val="270"/>
          <w:divBdr>
            <w:top w:val="none" w:sz="0" w:space="0" w:color="auto"/>
            <w:left w:val="none" w:sz="0" w:space="0" w:color="auto"/>
            <w:bottom w:val="none" w:sz="0" w:space="0" w:color="auto"/>
            <w:right w:val="none" w:sz="0" w:space="0" w:color="auto"/>
          </w:divBdr>
        </w:div>
        <w:div w:id="327709656">
          <w:marLeft w:val="0"/>
          <w:marRight w:val="0"/>
          <w:marTop w:val="120"/>
          <w:marBottom w:val="60"/>
          <w:divBdr>
            <w:top w:val="none" w:sz="0" w:space="0" w:color="auto"/>
            <w:left w:val="none" w:sz="0" w:space="0" w:color="auto"/>
            <w:bottom w:val="none" w:sz="0" w:space="0" w:color="auto"/>
            <w:right w:val="none" w:sz="0" w:space="0" w:color="auto"/>
          </w:divBdr>
          <w:divsChild>
            <w:div w:id="663360407">
              <w:marLeft w:val="0"/>
              <w:marRight w:val="0"/>
              <w:marTop w:val="0"/>
              <w:marBottom w:val="0"/>
              <w:divBdr>
                <w:top w:val="none" w:sz="0" w:space="0" w:color="auto"/>
                <w:left w:val="none" w:sz="0" w:space="0" w:color="auto"/>
                <w:bottom w:val="none" w:sz="0" w:space="0" w:color="auto"/>
                <w:right w:val="none" w:sz="0" w:space="0" w:color="auto"/>
              </w:divBdr>
            </w:div>
          </w:divsChild>
        </w:div>
        <w:div w:id="1240868215">
          <w:marLeft w:val="0"/>
          <w:marRight w:val="0"/>
          <w:marTop w:val="120"/>
          <w:marBottom w:val="60"/>
          <w:divBdr>
            <w:top w:val="none" w:sz="0" w:space="0" w:color="auto"/>
            <w:left w:val="none" w:sz="0" w:space="0" w:color="auto"/>
            <w:bottom w:val="none" w:sz="0" w:space="0" w:color="auto"/>
            <w:right w:val="none" w:sz="0" w:space="0" w:color="auto"/>
          </w:divBdr>
          <w:divsChild>
            <w:div w:id="1496334653">
              <w:marLeft w:val="0"/>
              <w:marRight w:val="0"/>
              <w:marTop w:val="0"/>
              <w:marBottom w:val="0"/>
              <w:divBdr>
                <w:top w:val="none" w:sz="0" w:space="0" w:color="auto"/>
                <w:left w:val="none" w:sz="0" w:space="0" w:color="auto"/>
                <w:bottom w:val="none" w:sz="0" w:space="0" w:color="auto"/>
                <w:right w:val="none" w:sz="0" w:space="0" w:color="auto"/>
              </w:divBdr>
            </w:div>
          </w:divsChild>
        </w:div>
        <w:div w:id="712464575">
          <w:marLeft w:val="0"/>
          <w:marRight w:val="0"/>
          <w:marTop w:val="120"/>
          <w:marBottom w:val="60"/>
          <w:divBdr>
            <w:top w:val="none" w:sz="0" w:space="0" w:color="auto"/>
            <w:left w:val="none" w:sz="0" w:space="0" w:color="auto"/>
            <w:bottom w:val="none" w:sz="0" w:space="0" w:color="auto"/>
            <w:right w:val="none" w:sz="0" w:space="0" w:color="auto"/>
          </w:divBdr>
          <w:divsChild>
            <w:div w:id="1494491713">
              <w:marLeft w:val="0"/>
              <w:marRight w:val="0"/>
              <w:marTop w:val="0"/>
              <w:marBottom w:val="0"/>
              <w:divBdr>
                <w:top w:val="none" w:sz="0" w:space="0" w:color="auto"/>
                <w:left w:val="none" w:sz="0" w:space="0" w:color="auto"/>
                <w:bottom w:val="none" w:sz="0" w:space="0" w:color="auto"/>
                <w:right w:val="none" w:sz="0" w:space="0" w:color="auto"/>
              </w:divBdr>
            </w:div>
          </w:divsChild>
        </w:div>
        <w:div w:id="1865095160">
          <w:marLeft w:val="0"/>
          <w:marRight w:val="0"/>
          <w:marTop w:val="120"/>
          <w:marBottom w:val="60"/>
          <w:divBdr>
            <w:top w:val="none" w:sz="0" w:space="0" w:color="auto"/>
            <w:left w:val="none" w:sz="0" w:space="0" w:color="auto"/>
            <w:bottom w:val="none" w:sz="0" w:space="0" w:color="auto"/>
            <w:right w:val="none" w:sz="0" w:space="0" w:color="auto"/>
          </w:divBdr>
          <w:divsChild>
            <w:div w:id="1802578676">
              <w:marLeft w:val="0"/>
              <w:marRight w:val="0"/>
              <w:marTop w:val="0"/>
              <w:marBottom w:val="0"/>
              <w:divBdr>
                <w:top w:val="none" w:sz="0" w:space="0" w:color="auto"/>
                <w:left w:val="none" w:sz="0" w:space="0" w:color="auto"/>
                <w:bottom w:val="none" w:sz="0" w:space="0" w:color="auto"/>
                <w:right w:val="none" w:sz="0" w:space="0" w:color="auto"/>
              </w:divBdr>
            </w:div>
          </w:divsChild>
        </w:div>
        <w:div w:id="45494963">
          <w:marLeft w:val="0"/>
          <w:marRight w:val="0"/>
          <w:marTop w:val="120"/>
          <w:marBottom w:val="60"/>
          <w:divBdr>
            <w:top w:val="none" w:sz="0" w:space="0" w:color="auto"/>
            <w:left w:val="none" w:sz="0" w:space="0" w:color="auto"/>
            <w:bottom w:val="none" w:sz="0" w:space="0" w:color="auto"/>
            <w:right w:val="none" w:sz="0" w:space="0" w:color="auto"/>
          </w:divBdr>
          <w:divsChild>
            <w:div w:id="2001809288">
              <w:marLeft w:val="0"/>
              <w:marRight w:val="0"/>
              <w:marTop w:val="0"/>
              <w:marBottom w:val="0"/>
              <w:divBdr>
                <w:top w:val="none" w:sz="0" w:space="0" w:color="auto"/>
                <w:left w:val="none" w:sz="0" w:space="0" w:color="auto"/>
                <w:bottom w:val="none" w:sz="0" w:space="0" w:color="auto"/>
                <w:right w:val="none" w:sz="0" w:space="0" w:color="auto"/>
              </w:divBdr>
            </w:div>
          </w:divsChild>
        </w:div>
        <w:div w:id="1593124277">
          <w:marLeft w:val="0"/>
          <w:marRight w:val="0"/>
          <w:marTop w:val="120"/>
          <w:marBottom w:val="60"/>
          <w:divBdr>
            <w:top w:val="none" w:sz="0" w:space="0" w:color="auto"/>
            <w:left w:val="none" w:sz="0" w:space="0" w:color="auto"/>
            <w:bottom w:val="none" w:sz="0" w:space="0" w:color="auto"/>
            <w:right w:val="none" w:sz="0" w:space="0" w:color="auto"/>
          </w:divBdr>
          <w:divsChild>
            <w:div w:id="228228507">
              <w:marLeft w:val="0"/>
              <w:marRight w:val="0"/>
              <w:marTop w:val="0"/>
              <w:marBottom w:val="0"/>
              <w:divBdr>
                <w:top w:val="none" w:sz="0" w:space="0" w:color="auto"/>
                <w:left w:val="none" w:sz="0" w:space="0" w:color="auto"/>
                <w:bottom w:val="none" w:sz="0" w:space="0" w:color="auto"/>
                <w:right w:val="none" w:sz="0" w:space="0" w:color="auto"/>
              </w:divBdr>
            </w:div>
          </w:divsChild>
        </w:div>
        <w:div w:id="94373273">
          <w:marLeft w:val="0"/>
          <w:marRight w:val="0"/>
          <w:marTop w:val="120"/>
          <w:marBottom w:val="60"/>
          <w:divBdr>
            <w:top w:val="none" w:sz="0" w:space="0" w:color="auto"/>
            <w:left w:val="none" w:sz="0" w:space="0" w:color="auto"/>
            <w:bottom w:val="none" w:sz="0" w:space="0" w:color="auto"/>
            <w:right w:val="none" w:sz="0" w:space="0" w:color="auto"/>
          </w:divBdr>
          <w:divsChild>
            <w:div w:id="1841700196">
              <w:marLeft w:val="0"/>
              <w:marRight w:val="0"/>
              <w:marTop w:val="0"/>
              <w:marBottom w:val="0"/>
              <w:divBdr>
                <w:top w:val="none" w:sz="0" w:space="0" w:color="auto"/>
                <w:left w:val="none" w:sz="0" w:space="0" w:color="auto"/>
                <w:bottom w:val="none" w:sz="0" w:space="0" w:color="auto"/>
                <w:right w:val="none" w:sz="0" w:space="0" w:color="auto"/>
              </w:divBdr>
            </w:div>
          </w:divsChild>
        </w:div>
        <w:div w:id="475339630">
          <w:marLeft w:val="0"/>
          <w:marRight w:val="0"/>
          <w:marTop w:val="120"/>
          <w:marBottom w:val="60"/>
          <w:divBdr>
            <w:top w:val="none" w:sz="0" w:space="0" w:color="auto"/>
            <w:left w:val="none" w:sz="0" w:space="0" w:color="auto"/>
            <w:bottom w:val="none" w:sz="0" w:space="0" w:color="auto"/>
            <w:right w:val="none" w:sz="0" w:space="0" w:color="auto"/>
          </w:divBdr>
          <w:divsChild>
            <w:div w:id="1256476091">
              <w:marLeft w:val="0"/>
              <w:marRight w:val="0"/>
              <w:marTop w:val="0"/>
              <w:marBottom w:val="0"/>
              <w:divBdr>
                <w:top w:val="none" w:sz="0" w:space="0" w:color="auto"/>
                <w:left w:val="none" w:sz="0" w:space="0" w:color="auto"/>
                <w:bottom w:val="none" w:sz="0" w:space="0" w:color="auto"/>
                <w:right w:val="none" w:sz="0" w:space="0" w:color="auto"/>
              </w:divBdr>
            </w:div>
          </w:divsChild>
        </w:div>
        <w:div w:id="1807576728">
          <w:marLeft w:val="0"/>
          <w:marRight w:val="0"/>
          <w:marTop w:val="120"/>
          <w:marBottom w:val="60"/>
          <w:divBdr>
            <w:top w:val="none" w:sz="0" w:space="0" w:color="auto"/>
            <w:left w:val="none" w:sz="0" w:space="0" w:color="auto"/>
            <w:bottom w:val="none" w:sz="0" w:space="0" w:color="auto"/>
            <w:right w:val="none" w:sz="0" w:space="0" w:color="auto"/>
          </w:divBdr>
          <w:divsChild>
            <w:div w:id="1018854321">
              <w:marLeft w:val="0"/>
              <w:marRight w:val="0"/>
              <w:marTop w:val="0"/>
              <w:marBottom w:val="0"/>
              <w:divBdr>
                <w:top w:val="none" w:sz="0" w:space="0" w:color="auto"/>
                <w:left w:val="none" w:sz="0" w:space="0" w:color="auto"/>
                <w:bottom w:val="none" w:sz="0" w:space="0" w:color="auto"/>
                <w:right w:val="none" w:sz="0" w:space="0" w:color="auto"/>
              </w:divBdr>
            </w:div>
          </w:divsChild>
        </w:div>
        <w:div w:id="847018404">
          <w:marLeft w:val="0"/>
          <w:marRight w:val="0"/>
          <w:marTop w:val="120"/>
          <w:marBottom w:val="60"/>
          <w:divBdr>
            <w:top w:val="none" w:sz="0" w:space="0" w:color="auto"/>
            <w:left w:val="none" w:sz="0" w:space="0" w:color="auto"/>
            <w:bottom w:val="none" w:sz="0" w:space="0" w:color="auto"/>
            <w:right w:val="none" w:sz="0" w:space="0" w:color="auto"/>
          </w:divBdr>
          <w:divsChild>
            <w:div w:id="1568110208">
              <w:marLeft w:val="0"/>
              <w:marRight w:val="0"/>
              <w:marTop w:val="0"/>
              <w:marBottom w:val="0"/>
              <w:divBdr>
                <w:top w:val="none" w:sz="0" w:space="0" w:color="auto"/>
                <w:left w:val="none" w:sz="0" w:space="0" w:color="auto"/>
                <w:bottom w:val="none" w:sz="0" w:space="0" w:color="auto"/>
                <w:right w:val="none" w:sz="0" w:space="0" w:color="auto"/>
              </w:divBdr>
            </w:div>
          </w:divsChild>
        </w:div>
        <w:div w:id="585461056">
          <w:marLeft w:val="0"/>
          <w:marRight w:val="0"/>
          <w:marTop w:val="120"/>
          <w:marBottom w:val="60"/>
          <w:divBdr>
            <w:top w:val="none" w:sz="0" w:space="0" w:color="auto"/>
            <w:left w:val="none" w:sz="0" w:space="0" w:color="auto"/>
            <w:bottom w:val="none" w:sz="0" w:space="0" w:color="auto"/>
            <w:right w:val="none" w:sz="0" w:space="0" w:color="auto"/>
          </w:divBdr>
          <w:divsChild>
            <w:div w:id="1608852707">
              <w:marLeft w:val="0"/>
              <w:marRight w:val="0"/>
              <w:marTop w:val="0"/>
              <w:marBottom w:val="0"/>
              <w:divBdr>
                <w:top w:val="none" w:sz="0" w:space="0" w:color="auto"/>
                <w:left w:val="none" w:sz="0" w:space="0" w:color="auto"/>
                <w:bottom w:val="none" w:sz="0" w:space="0" w:color="auto"/>
                <w:right w:val="none" w:sz="0" w:space="0" w:color="auto"/>
              </w:divBdr>
            </w:div>
          </w:divsChild>
        </w:div>
        <w:div w:id="1949389103">
          <w:marLeft w:val="0"/>
          <w:marRight w:val="0"/>
          <w:marTop w:val="24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1344</Words>
  <Characters>7661</Characters>
  <Application>Microsoft Office Word</Application>
  <DocSecurity>4</DocSecurity>
  <Lines>63</Lines>
  <Paragraphs>17</Paragraphs>
  <ScaleCrop>false</ScaleCrop>
  <Company/>
  <LinksUpToDate>false</LinksUpToDate>
  <CharactersWithSpaces>8988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환경기술인 보유 자격기준 및 법적 근거</dc:title>
  <dc:subject/>
  <dc:creator>GWANGSIK JO</dc:creator>
  <cp:keywords/>
  <dc:description/>
  <cp:lastModifiedBy>GWANGSIK JO</cp:lastModifiedBy>
  <cp:revision>2</cp:revision>
  <dcterms:created xsi:type="dcterms:W3CDTF">2026-07-31T02:26:00Z</dcterms:created>
  <dcterms:modified xsi:type="dcterms:W3CDTF">2026-07-31T02:26:00Z</dcterms:modified>
</cp:coreProperties>
</file>