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배출부과금은 허가받은 시설이 아니라 실제 가동한 시설을 기준으로 산정합니다. (95누14312)</w:t>
      </w:r>
    </w:p>
    <w:p>
      <w:pPr>
        <w:autoSpaceDN w:val="0"/>
        <w:autoSpaceDE w:val="0"/>
        <w:pStyle w:val="law1"/>
        <w:spacing w:after="160"/>
      </w:pPr>
      <w:r>
        <w:rPr>
          <w:rFonts w:ascii="맑은 고딕" w:hAnsi="맑은 고딕" w:eastAsia="맑은 고딕" w:cs="맑은 고딕"/>
          <w:color w:val="000000"/>
        </w:rPr>
        <w:t>대법원 95누14312 (1996.12.23 선고)</w:t>
      </w:r>
    </w:p>
    <w:p>
      <w:pPr>
        <w:autoSpaceDN w:val="0"/>
        <w:autoSpaceDE w:val="0"/>
        <w:spacing w:after="120"/>
      </w:pPr>
      <w:r>
        <w:rPr>
          <w:rFonts w:ascii="맑은 고딕" w:hAnsi="맑은 고딕" w:eastAsia="맑은 고딕" w:cs="맑은 고딕"/>
          <w:color w:val="000000"/>
        </w:rPr>
        <w:t>○ 보일러 3대의 설치허가를 받았으나 평소 1대만 가동해 온 사업장에서, 행정청이 3대를 모두 가동시킨 상태로 측정한 값을 기준으로 배출부과금을 부과한 사건입니다. 대법원은 배출부과금은 실제로 가동하는 배출시설에서 배출되는 오염물질을 기준으로 산정하여야 하고, 허가대수나 예비용 변경허가 여부는 이유가 되지 않는다고 보았습니다.</w:t>
      </w: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보일러 3대를 허가받았지만 평소 1대만 돌립니다. 부과금은 무엇을 기준으로 하나요?</w:t>
            </w:r>
          </w:p>
          <w:p>
            <w:pPr>
              <w:autoSpaceDN w:val="0"/>
              <w:autoSpaceDE w:val="0"/>
            </w:pPr>
            <w:r>
              <w:rPr>
                <w:rFonts w:ascii="맑은 고딕" w:hAnsi="맑은 고딕" w:eastAsia="맑은 고딕" w:cs="맑은 고딕"/>
                <w:color w:val="000000"/>
                <w:sz w:val="19"/>
              </w:rPr>
              <w:t>A. 실제로 가동 중인 보일러 1대에서 배출되는 오염물질을 측정하여 이를 기준으로 산정하여야 합니다.</w:t>
            </w:r>
          </w:p>
          <w:p>
            <w:pPr>
              <w:autoSpaceDN w:val="0"/>
              <w:autoSpaceDE w:val="0"/>
            </w:pPr>
          </w:p>
          <w:p>
            <w:pPr>
              <w:autoSpaceDN w:val="0"/>
              <w:autoSpaceDE w:val="0"/>
            </w:pPr>
            <w:r>
              <w:rPr>
                <w:rFonts w:ascii="맑은 고딕" w:hAnsi="맑은 고딕" w:eastAsia="맑은 고딕" w:cs="맑은 고딕"/>
                <w:b/>
                <w:color w:val="000000"/>
                <w:sz w:val="19"/>
              </w:rPr>
              <w:t>Q. 나머지를 예비용으로 변경허가 받아두지 않았는데, 그러면 3대 전부를 기준으로 하나요?</w:t>
            </w:r>
          </w:p>
          <w:p>
            <w:pPr>
              <w:autoSpaceDN w:val="0"/>
              <w:autoSpaceDE w:val="0"/>
            </w:pPr>
            <w:r>
              <w:rPr>
                <w:rFonts w:ascii="맑은 고딕" w:hAnsi="맑은 고딕" w:eastAsia="맑은 고딕" w:cs="맑은 고딕"/>
                <w:color w:val="000000"/>
                <w:sz w:val="19"/>
              </w:rPr>
              <w:t>A. 아닙니다. 3대에 관하여 설치허가를 받았다거나 그중 예비용으로 배출시설 변경허가 등을 받은 사실이 없다고 하여 달리 볼 것은 아닙니다.</w:t>
            </w:r>
          </w:p>
          <w:p>
            <w:pPr>
              <w:autoSpaceDN w:val="0"/>
              <w:autoSpaceDE w:val="0"/>
            </w:pPr>
          </w:p>
          <w:p>
            <w:pPr>
              <w:autoSpaceDN w:val="0"/>
              <w:autoSpaceDE w:val="0"/>
            </w:pPr>
            <w:r>
              <w:rPr>
                <w:rFonts w:ascii="맑은 고딕" w:hAnsi="맑은 고딕" w:eastAsia="맑은 고딕" w:cs="맑은 고딕"/>
                <w:b/>
                <w:color w:val="000000"/>
                <w:sz w:val="19"/>
              </w:rPr>
              <w:t>Q. 행정청이 전부 가동시켜 최대 부하 상태에서 측정해도 되나요?</w:t>
            </w:r>
          </w:p>
          <w:p>
            <w:pPr>
              <w:autoSpaceDN w:val="0"/>
              <w:autoSpaceDE w:val="0"/>
            </w:pPr>
            <w:r>
              <w:rPr>
                <w:rFonts w:ascii="맑은 고딕" w:hAnsi="맑은 고딕" w:eastAsia="맑은 고딕" w:cs="맑은 고딕"/>
                <w:color w:val="000000"/>
                <w:sz w:val="19"/>
              </w:rPr>
              <w:t>A. 배출부과금 산정의 기준이 되는 초과 배출량은 실제 가동 여부와 관계없이 설치된 배출시설을 모두 가동하여 최대 부하량이 걸린 상태에서 배출되는 최대량을 가리키는 것이 아닙니다.</w:t>
            </w:r>
          </w:p>
        </w:tc>
      </w:tr>
    </w:tbl>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95누14312</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1996.12.23</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주식회사 ○○○도(콘도미니엄 운영) · 피고 충주시장</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(배출부과금납부명령처분취소)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대전고법 94구1287 (1995. 8. 25.)</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파기환송</w:t>
            </w:r>
          </w:p>
        </w:tc>
      </w:tr>
    </w:tbl>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충주시에 콘도미니엄시설을 갖추고 관광숙박업 등을 하는 회사로서, 난방을 위하여 피고로부터 대기오염물질 배출시설인 보일러(용량 각 1.5t/h) 3대의 설치허가를 받아 이를 설치하고 방지시설로 연소보조장치 3대를 설치하였다.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원고는 난방에 보일러 1대만으로도 충분하였으므로 3대 중 2대를 교대로 사용하는 방법으로 실제 1대만을 가동하여 왔고, 나머지 1대는 고장 등에 대비한 예비용으로 갖추고 있었으나 예비용으로의 배출시설 변경허가 등은 받지 않았다.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피고는 1993. 12. 6. 원고로 하여금 보일러 3대를 모두 가동하게 한 다음 그 상태에서 굴뚝측정구 안에서 오염물질을 측정하였고, 먼지가 배출허용기준 200㎎/S㎥보다 높은 865㎎/S㎥ 배출되는 것으로 판정되었다.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피고는 개선명령을 한 후 1994. 2. 2. 원고에게 배출부과금 60,961,290원을 부과·고지하였다가 최종적으로 21,950,050원으로 감액·경정하였다.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원심은 원고가 언제나 보일러 3대를 동시에 가동할 수 있으므로 최대 부하량이 걸린 상태에서 측정한 피고의 조치가 정당하다고 판단하였다.</w:t>
      </w: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배출시설 설치허가를 받은 보일러 3대 중 평소 1대만 가동하여 온 경우 3대 전부를 가동시켜 측정한 배출오염물질을 기준으로 배출부과금을 산정할 수 있는지 여부이다.</w:t>
      </w: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b/>
          <w:color w:val="000000"/>
          <w:u w:val="single"/>
        </w:rPr>
        <w:t>① 원심의 판단 원심은 원고가 배출시설의 설치허가를 받은 것은 보일러 3대이고 그중 어느 것도 예비용으로 지정받은 바가 없어 원고는 언제나 보일러 3대를 동시에 가동할 수 있으므로, 방지시설에 영향을 미치는 배출시설을 모두 가동하게 하여 최대의 부하량이 걸린 상태에서 배출되는 오염물질을 측정하여 이를 기준으로 배출부과금을 산정한 피고의 조치는 정당하다고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판단은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③ 구 대기환경보전법 제19조 제1항에 의하면 배출부과금은 배출허용기준을 초과하여 오염물질을 배출하는 사업자에 대하여 오염물질의 종류·배출기간·배출량 등을 기준으로 산정하는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같은 법 시행령 제9조에 의하면 배출허용기준 초과 오염물질배출량은 배출기간 중에 배출허용기준을 초과하여 조업함으로써 배출되는 오염물질의 양을, 배출오염물질 채취일의 초과농도 및 배출가스의 유량에 의하여 산정한 일일 오염물질배출량에 배출기간의 일수를 곱하는 방법으로 산정한다.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그러므로 배출부과금 산정의 기준이 되는 배출허용기준 초과 오염물질배출량은 사업자가 조업에 제공하기 위하여 실제로 가동하는 배출시설로 인하여 배출되는 오염물질의 양을 위와 같은 방법에 의하여 산정하는 것이지, 조업을 위한 실제 가동 여부와 관계없이 당해 사업장에 설치된 배출시설을 모두 가동하여 최대의 부하량이 걸린 상태에서 배출되는 오염물질의 최대량을 가리키는 것은 아니다.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⑥ 따라서 원고가 설치된 보일러 3대 중 1대만 가동하여 조업을 하여 왔다면 실제로 가동 중인 보일러 1대에서 배출되는 오염물질을 측정하여 이를 기준으로 배출부과금을 산정하여야 하고, 원고가 보일러 3대에 관하여 배출시설의 설치허가를 받았다거나 그중 예비용으로 배출시설 변경허가 등을 득한 사실이 없다고 하여 달리 볼 것은 아니다.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⑦ 그럼에도 원심은 보일러 3대를 모두 가동하게 한 상태에서 측정한 값을 기준으로 배출부과금을 산정한 피고의 조치가 정당하다고 판단하였으니, 원심판결에는 배출부과금 산정에 관한 법리오해의 위법이 있다.</w:t>
      </w: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color w:val="000000"/>
          <w:u w:val="single"/>
        </w:rPr>
        <w:t>① 배출부과금 산정의 기준이 되는 배출허용기준 초과 오염물질배출량은 사업자가 조업에 제공하기 위하여 실제로 가동하는 배출시설로 인하여 배출되는 오염물질의 양을 그와 같은 방법에 의하여 산정하는 것이지 조업을 위한 실제 가동 여부와 관계 없이 당해 사업장에 설치된 배출시설을 모두 가동하여 최대의 부하량이 걸린 상태에서 배출되는 오염물질의 최대량을 가리키는 것은 아니고, 따라서 설치된 보일러 3대 중 1대만 가동하여 조업을 하여 왔다면 실제로 가동 중인 보일러 1대에서 배출되는 오염물질을 측정하여 이를 기준으로 배출부과금을 산정하여야 하고, 보일러 3대에 관하여 배출시설의 설치허가를 받았다거나 그 중 예비용으로 배출시설 변경허가 등을 득한 사실이 없다고 하여 달리 볼 것은 아니다.</w:t>
      </w: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제35조 제1항</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(구 제19조 제1항)</w:t>
            </w:r>
          </w:p>
        </w:tc>
        <w:tc>
          <w:tcPr>
            <w:tcW w:type="pct" w:w="3500"/>
          </w:tcPr>
          <w:p>
            <w:pPr>
              <w:autoSpaceDN w:val="0"/>
              <w:autoSpaceDE w:val="0"/>
            </w:pPr>
            <w:r>
              <w:rPr>
                <w:rFonts w:ascii="맑은 고딕" w:hAnsi="맑은 고딕" w:eastAsia="맑은 고딕" w:cs="맑은 고딕"/>
                <w:color w:val="000000"/>
                <w:sz w:val="19"/>
              </w:rPr>
              <w:t>기후에너지환경부장관 또는 시·도지사는 대기오염물질로 인한 대기환경상의 피해를 방지하거나 줄이기 위하여 대기오염물질을 배출하는 사업자 등에 대하여 배출부과금을 부과·징수한다.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제35조 제3항</w:t>
            </w:r>
          </w:p>
        </w:tc>
        <w:tc>
          <w:tcPr>
            <w:tcW w:type="pct" w:w="3500"/>
          </w:tcPr>
          <w:p>
            <w:pPr>
              <w:autoSpaceDN w:val="0"/>
              <w:autoSpaceDE w:val="0"/>
            </w:pPr>
            <w:r>
              <w:rPr>
                <w:rFonts w:ascii="맑은 고딕" w:hAnsi="맑은 고딕" w:eastAsia="맑은 고딕" w:cs="맑은 고딕"/>
                <w:color w:val="000000"/>
                <w:sz w:val="19"/>
              </w:rPr>
              <w:t>배출부과금을 부과할 때에는 배출허용기준 초과 여부, 배출되는 대기오염물질의 종류, 대기오염물질의 배출 기간, 대기오염물질의 배출량, 자가측정을 하였는지 여부 등을 고려하여야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w:t>
            </w:r>
          </w:p>
        </w:tc>
        <w:tc>
          <w:tcPr>
            <w:tcW w:type="pct" w:w="3500"/>
          </w:tcPr>
          <w:p>
            <w:pPr>
              <w:autoSpaceDN w:val="0"/>
              <w:autoSpaceDE w:val="0"/>
            </w:pPr>
            <w:r>
              <w:rPr>
                <w:rFonts w:ascii="맑은 고딕" w:hAnsi="맑은 고딕" w:eastAsia="맑은 고딕" w:cs="맑은 고딕"/>
                <w:color w:val="000000"/>
                <w:sz w:val="19"/>
              </w:rPr>
              <w:t>초과부과금 산정에 필요한 기준초과배출량은 배출기간 중에 배출허용기준을 초과하여 조업함으로써 배출되는 오염물질의 양으로 하되, 일일 기준초과배출량에 배출기간의 일수를 곱하여 산정한다.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제2항</w:t>
            </w:r>
          </w:p>
        </w:tc>
        <w:tc>
          <w:tcPr>
            <w:tcW w:type="pct" w:w="3500"/>
          </w:tcPr>
          <w:p>
            <w:pPr>
              <w:autoSpaceDN w:val="0"/>
              <w:autoSpaceDE w:val="0"/>
            </w:pPr>
            <w:r>
              <w:rPr>
                <w:rFonts w:ascii="맑은 고딕" w:hAnsi="맑은 고딕" w:eastAsia="맑은 고딕" w:cs="맑은 고딕"/>
                <w:color w:val="000000"/>
                <w:sz w:val="19"/>
              </w:rPr>
              <w:t>허가를 받은 자가 허가받은 사항 중 대통령령으로 정하는 중요한 사항을 변경하려면 변경허가를 받아야 하고, 그 밖의 사항을 변경하려면 변경신고를 하여야 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https://www.law.go.kr/판례/(95누14312)</w:t>
      </w:r>
    </w:p>
    <w:p>
      <w:pPr>
        <w:autoSpaceDN w:val="0"/>
        <w:autoSpaceDE w:val="0"/>
        <w:spacing w:before="80"/>
      </w:pPr>
      <w:r>
        <w:rPr>
          <w:rFonts w:ascii="맑은 고딕" w:hAnsi="맑은 고딕" w:eastAsia="맑은 고딕" w:cs="맑은 고딕"/>
          <w:color w:val="000000"/>
          <w:sz w:val="18"/>
        </w:rPr>
        <w:t>태그  #대기환경보전법 #배출부과금 #실제가동 #예비시설 #보일러 #오염도검사 #행정판례 #대법원판례 #1996년판례 #95누14312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