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autoSpaceDN w:val="0"/>
        <w:autoSpaceDE w:val="0"/>
        <w:spacing w:after="60"/>
      </w:pPr>
      <w:r>
        <w:rPr>
          <w:rFonts w:ascii="맑은 고딕" w:hAnsi="맑은 고딕" w:eastAsia="맑은 고딕" w:cs="맑은 고딕"/>
          <w:b/>
          <w:color w:val="000000"/>
          <w:sz w:val="30"/>
        </w:rPr>
        <w:t>분뇨처리수를 버렸다면 ‘분뇨인 상태’인지부터 가려야 합니다. (2008도6298)</w:t>
      </w:r>
    </w:p>
    <w:p>
      <w:pPr>
        <w:autoSpaceDN w:val="0"/>
        <w:autoSpaceDE w:val="0"/>
        <w:pStyle w:val="law1"/>
        <w:spacing w:after="160"/>
      </w:pPr>
      <w:r>
        <w:rPr>
          <w:rFonts w:ascii="맑은 고딕" w:hAnsi="맑은 고딕" w:eastAsia="맑은 고딕" w:cs="맑은 고딕"/>
          <w:color w:val="000000"/>
        </w:rPr>
        <w:t>대법원 2008도6298 (2008.09.25 선고)</w:t>
      </w:r>
    </w:p>
    <w:p>
      <w:pPr>
        <w:autoSpaceDN w:val="0"/>
        <w:autoSpaceDE w:val="0"/>
        <w:spacing w:after="120"/>
      </w:pPr>
      <w:r>
        <w:rPr>
          <w:rFonts w:ascii="맑은 고딕" w:hAnsi="맑은 고딕" w:eastAsia="맑은 고딕" w:cs="맑은 고딕"/>
          <w:color w:val="000000"/>
        </w:rPr>
        <w:t>○ 이동식 분뇨처리 탈수차량으로 어느 정도 정화한 분뇨처리수를 우수맨홀에 투기한 사건입니다. 대법원은 ‘분뇨를 버린다’는 것은 안전한 처리 없이 ‘분뇨인 상태’ 그대로 버리는 것을 말하고, 여기에는 위해를 초래할 정도의 분뇨가 함유된 폐수도 포함되므로, 그 해당 여부를 가려야 한다고 보았습니다.</w:t>
      </w:r>
    </w:p>
    <w:p>
      <w:pPr>
        <w:autoSpaceDN w:val="0"/>
        <w:autoSpaceDE w:val="0"/>
      </w:pP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9026"/>
      </w:tblGrid>
      <w:tr>
        <w:tc>
          <w:tcPr>
            <w:tcW w:type="pct" w:w="5000"/>
            <w:shd w:val="clear" w:color="auto" w:fill="D9D9D9"/>
            <w:tcBorders>
              <w:bottom w:val="double" w:sz="6" w:space="0" w:color="808080"/>
            </w:tcBorders>
          </w:tcPr>
          <w:p>
            <w:pPr>
              <w:autoSpaceDN w:val="0"/>
              <w:autoSpaceDE w:val="0"/>
            </w:pPr>
            <w:r>
              <w:rPr>
                <w:rFonts w:ascii="맑은 고딕" w:hAnsi="맑은 고딕" w:eastAsia="맑은 고딕" w:cs="맑은 고딕"/>
                <w:b/>
                <w:color w:val="000000"/>
                <w:sz w:val="21"/>
              </w:rPr>
              <w:t>※ 간단요약</w:t>
            </w:r>
          </w:p>
        </w:tc>
      </w:tr>
      <w:tr>
        <w:tc>
          <w:tcPr>
            <w:tcW w:type="pct" w:w="5000"/>
            <w:shd w:val="clear" w:color="auto" w:fill="F7F7F7"/>
          </w:tcPr>
          <w:p>
            <w:pPr>
              <w:autoSpaceDN w:val="0"/>
              <w:autoSpaceDE w:val="0"/>
            </w:pPr>
            <w:r>
              <w:rPr>
                <w:rFonts w:ascii="맑은 고딕" w:hAnsi="맑은 고딕" w:eastAsia="맑은 고딕" w:cs="맑은 고딕"/>
                <w:b/>
                <w:color w:val="000000"/>
                <w:sz w:val="19"/>
              </w:rPr>
              <w:t>Q. ‘분뇨를 버린다’는 것은 어떤 의미인가요?</w:t>
            </w:r>
          </w:p>
          <w:p>
            <w:pPr>
              <w:autoSpaceDN w:val="0"/>
              <w:autoSpaceDE w:val="0"/>
            </w:pPr>
            <w:r>
              <w:rPr>
                <w:rFonts w:ascii="맑은 고딕" w:hAnsi="맑은 고딕" w:eastAsia="맑은 고딕" w:cs="맑은 고딕"/>
                <w:color w:val="000000"/>
                <w:sz w:val="19"/>
              </w:rPr>
              <w:t>A. 물리적·화학적·생물학적 방법으로 분뇨를 안전하게 처리함이 없이 ‘분뇨인 상태’ 그대로 버리는 것을 말합니다.</w:t>
            </w:r>
          </w:p>
          <w:p>
            <w:pPr>
              <w:autoSpaceDN w:val="0"/>
              <w:autoSpaceDE w:val="0"/>
            </w:pPr>
          </w:p>
          <w:p>
            <w:pPr>
              <w:autoSpaceDN w:val="0"/>
              <w:autoSpaceDE w:val="0"/>
            </w:pPr>
            <w:r>
              <w:rPr>
                <w:rFonts w:ascii="맑은 고딕" w:hAnsi="맑은 고딕" w:eastAsia="맑은 고딕" w:cs="맑은 고딕"/>
                <w:b/>
                <w:color w:val="000000"/>
                <w:sz w:val="19"/>
              </w:rPr>
              <w:t>Q. ‘분뇨인 상태’에는 무엇이 포함되나요?</w:t>
            </w:r>
          </w:p>
          <w:p>
            <w:pPr>
              <w:autoSpaceDN w:val="0"/>
              <w:autoSpaceDE w:val="0"/>
            </w:pPr>
            <w:r>
              <w:rPr>
                <w:rFonts w:ascii="맑은 고딕" w:hAnsi="맑은 고딕" w:eastAsia="맑은 고딕" w:cs="맑은 고딕"/>
                <w:color w:val="000000"/>
                <w:sz w:val="19"/>
              </w:rPr>
              <w:t>A. 분뇨 그 자체뿐만 아니라, 수질오염으로 인하여 국민건강 및 환경상의 위해를 초래할 정도의 분뇨가 함유된 폐수도 포함됩니다.</w:t>
            </w:r>
          </w:p>
          <w:p>
            <w:pPr>
              <w:autoSpaceDN w:val="0"/>
              <w:autoSpaceDE w:val="0"/>
            </w:pPr>
          </w:p>
          <w:p>
            <w:pPr>
              <w:autoSpaceDN w:val="0"/>
              <w:autoSpaceDE w:val="0"/>
            </w:pPr>
            <w:r>
              <w:rPr>
                <w:rFonts w:ascii="맑은 고딕" w:hAnsi="맑은 고딕" w:eastAsia="맑은 고딕" w:cs="맑은 고딕"/>
                <w:b/>
                <w:color w:val="000000"/>
                <w:sz w:val="19"/>
              </w:rPr>
              <w:t>Q. 정화 과정을 거친 처리수를 버린 경우는요?</w:t>
            </w:r>
          </w:p>
          <w:p>
            <w:pPr>
              <w:autoSpaceDN w:val="0"/>
              <w:autoSpaceDE w:val="0"/>
            </w:pPr>
            <w:r>
              <w:rPr>
                <w:rFonts w:ascii="맑은 고딕" w:hAnsi="맑은 고딕" w:eastAsia="맑은 고딕" w:cs="맑은 고딕"/>
                <w:color w:val="000000"/>
                <w:sz w:val="19"/>
              </w:rPr>
              <w:t>A. 분뇨 그 자체가 아니므로, 위해를 초래할 정도의 분뇨가 함유된 폐수로 볼 수 있는 경우에만 처벌대상이 됩니다. 그 점을 심리하지 않으면 위법입니다.</w:t>
            </w:r>
          </w:p>
        </w:tc>
      </w:tr>
    </w:tbl>
    <w:p>
      <w:pPr>
        <w:autoSpaceDN w:val="0"/>
        <w:autoSpaceDE w:val="0"/>
      </w:pPr>
    </w:p>
    <w:p>
      <w:pPr>
        <w:autoSpaceDN w:val="0"/>
        <w:autoSpaceDE w:val="0"/>
        <w:pStyle w:val="2"/>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200"/>
            <w:shd w:val="clear" w:color="auto" w:fill="F2F2F2"/>
          </w:tcPr>
          <w:p>
            <w:pPr>
              <w:autoSpaceDN w:val="0"/>
              <w:autoSpaceDE w:val="0"/>
            </w:pPr>
            <w:r>
              <w:rPr>
                <w:rFonts w:ascii="맑은 고딕" w:hAnsi="맑은 고딕" w:eastAsia="맑은 고딕" w:cs="맑은 고딕"/>
                <w:b/>
                <w:color w:val="000000"/>
                <w:sz w:val="19"/>
              </w:rPr>
              <w:t>사건번호</w:t>
            </w:r>
          </w:p>
        </w:tc>
        <w:tc>
          <w:tcPr>
            <w:tcW w:type="pct" w:w="3800"/>
          </w:tcPr>
          <w:p>
            <w:pPr>
              <w:autoSpaceDN w:val="0"/>
              <w:autoSpaceDE w:val="0"/>
            </w:pPr>
            <w:r>
              <w:rPr>
                <w:rFonts w:ascii="맑은 고딕" w:hAnsi="맑은 고딕" w:eastAsia="맑은 고딕" w:cs="맑은 고딕"/>
                <w:color w:val="000000"/>
                <w:sz w:val="19"/>
              </w:rPr>
              <w:t>2008도6298</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선고일자</w:t>
            </w:r>
          </w:p>
        </w:tc>
        <w:tc>
          <w:tcPr>
            <w:tcW w:type="pct" w:w="3800"/>
          </w:tcPr>
          <w:p>
            <w:pPr>
              <w:autoSpaceDN w:val="0"/>
              <w:autoSpaceDE w:val="0"/>
            </w:pPr>
            <w:r>
              <w:rPr>
                <w:rFonts w:ascii="맑은 고딕" w:hAnsi="맑은 고딕" w:eastAsia="맑은 고딕" w:cs="맑은 고딕"/>
                <w:color w:val="000000"/>
                <w:sz w:val="19"/>
              </w:rPr>
              <w:t>2008.09.25</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법원</w:t>
            </w:r>
          </w:p>
        </w:tc>
        <w:tc>
          <w:tcPr>
            <w:tcW w:type="pct" w:w="3800"/>
          </w:tcPr>
          <w:p>
            <w:pPr>
              <w:autoSpaceDN w:val="0"/>
              <w:autoSpaceDE w:val="0"/>
            </w:pPr>
            <w:r>
              <w:rPr>
                <w:rFonts w:ascii="맑은 고딕" w:hAnsi="맑은 고딕" w:eastAsia="맑은 고딕" w:cs="맑은 고딕"/>
                <w:color w:val="000000"/>
                <w:sz w:val="19"/>
              </w:rPr>
              <w:t>대법원</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당사자</w:t>
            </w:r>
          </w:p>
        </w:tc>
        <w:tc>
          <w:tcPr>
            <w:tcW w:type="pct" w:w="3800"/>
          </w:tcPr>
          <w:p>
            <w:pPr>
              <w:autoSpaceDN w:val="0"/>
              <w:autoSpaceDE w:val="0"/>
            </w:pPr>
            <w:r>
              <w:rPr>
                <w:rFonts w:ascii="맑은 고딕" w:hAnsi="맑은 고딕" w:eastAsia="맑은 고딕" w:cs="맑은 고딕"/>
                <w:color w:val="000000"/>
                <w:sz w:val="19"/>
              </w:rPr>
              <w:t>피고인 분뇨처리업체 대표이사 및 법인 · 상고인 피고인들</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사건종류</w:t>
            </w:r>
          </w:p>
        </w:tc>
        <w:tc>
          <w:tcPr>
            <w:tcW w:type="pct" w:w="3800"/>
          </w:tcPr>
          <w:p>
            <w:pPr>
              <w:autoSpaceDN w:val="0"/>
              <w:autoSpaceDE w:val="0"/>
            </w:pPr>
            <w:r>
              <w:rPr>
                <w:rFonts w:ascii="맑은 고딕" w:hAnsi="맑은 고딕" w:eastAsia="맑은 고딕" w:cs="맑은 고딕"/>
                <w:color w:val="000000"/>
                <w:sz w:val="19"/>
              </w:rPr>
              <w:t>형사 (수질환경보전법위반)</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원심</w:t>
            </w:r>
          </w:p>
        </w:tc>
        <w:tc>
          <w:tcPr>
            <w:tcW w:type="pct" w:w="3800"/>
          </w:tcPr>
          <w:p>
            <w:pPr>
              <w:autoSpaceDN w:val="0"/>
              <w:autoSpaceDE w:val="0"/>
            </w:pPr>
            <w:r>
              <w:rPr>
                <w:rFonts w:ascii="맑은 고딕" w:hAnsi="맑은 고딕" w:eastAsia="맑은 고딕" w:cs="맑은 고딕"/>
                <w:color w:val="000000"/>
                <w:sz w:val="19"/>
              </w:rPr>
              <w:t>의정부지법 2008노689 (2008. 6. 20.)</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결과</w:t>
            </w:r>
          </w:p>
        </w:tc>
        <w:tc>
          <w:tcPr>
            <w:tcW w:type="pct" w:w="3800"/>
          </w:tcPr>
          <w:p>
            <w:pPr>
              <w:autoSpaceDN w:val="0"/>
              <w:autoSpaceDE w:val="0"/>
            </w:pPr>
            <w:r>
              <w:rPr>
                <w:rFonts w:ascii="맑은 고딕" w:hAnsi="맑은 고딕" w:eastAsia="맑은 고딕" w:cs="맑은 고딕"/>
                <w:color w:val="000000"/>
                <w:sz w:val="19"/>
              </w:rPr>
              <w:t>원심 파기환송</w:t>
            </w:r>
          </w:p>
        </w:tc>
      </w:tr>
    </w:tbl>
    <w:p>
      <w:pPr>
        <w:autoSpaceDN w:val="0"/>
        <w:autoSpaceDE w:val="0"/>
      </w:pPr>
    </w:p>
    <w:p>
      <w:pPr>
        <w:autoSpaceDN w:val="0"/>
        <w:autoSpaceDE w:val="0"/>
        <w:pStyle w:val="2"/>
        <w:spacing w:before="80"/>
      </w:pPr>
      <w:r>
        <w:rPr>
          <w:rFonts w:ascii="맑은 고딕" w:hAnsi="맑은 고딕" w:eastAsia="맑은 고딕" w:cs="맑은 고딕"/>
          <w:color w:val="000000"/>
        </w:rPr>
        <w:t>2. 사실관계</w:t>
      </w:r>
    </w:p>
    <w:p>
      <w:pPr>
        <w:autoSpaceDN w:val="0"/>
        <w:autoSpaceDE w:val="0"/>
      </w:pPr>
      <w:r>
        <w:rPr>
          <w:rFonts w:ascii="맑은 고딕" w:hAnsi="맑은 고딕" w:eastAsia="맑은 고딕" w:cs="맑은 고딕"/>
          <w:color w:val="000000"/>
        </w:rPr>
        <w:t>① 피고인 1은 피고인 2 회사의 대표이사이고, 피고인 2 회사는 분뇨처리 및 이동식 탈수차량 제조 등을 목적으로 설립된 법인이다.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② 공소사실은 피고인 1이 2007. 6. 12. 07:20경 의정부시에 있는 동부간선도로에 설치된 우수맨홀에, 회사 소유 분뇨처리 이동식 차량에 적재되어 있던 분뇨처리수 약 20ℓ를 무단 투기하였다는 것이다.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③ 피고인 2 회사에 대하여는 그 대표자가 업무에 관하여 위와 같은 행위를 하였다는 이유로 함께 기소되었다.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④ 피고인 1이 투기한 것은 자체 제작한 이동식 분뇨처리 탈수차량을 이용하여 분뇨를 탈수 처리한 후의 분뇨처리수로서 어느 정도의 정화과정을 거친 것이었다.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⑤ 단속 공무원의 진술에 의하더라도 찌꺼기가 있거나 색깔이 누런 분뇨 자체가 아닌 액상이었고, 분뇨라고 판단한 것은 단지 소변냄새가 났기 때문이라는 것이었다.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⑥ 원심은 위 분뇨처리수가 법이 정한 분뇨에 해당한다고 단정하여 공소사실을 유죄로 인정한 제1심판결을 그대로 유지하였다.</w:t>
      </w:r>
    </w:p>
    <w:p>
      <w:pPr>
        <w:autoSpaceDN w:val="0"/>
        <w:autoSpaceDE w:val="0"/>
      </w:pPr>
    </w:p>
    <w:p>
      <w:pPr>
        <w:autoSpaceDN w:val="0"/>
        <w:autoSpaceDE w:val="0"/>
        <w:pStyle w:val="2"/>
        <w:spacing w:before="80"/>
      </w:pPr>
      <w:r>
        <w:rPr>
          <w:rFonts w:ascii="맑은 고딕" w:hAnsi="맑은 고딕" w:eastAsia="맑은 고딕" w:cs="맑은 고딕"/>
          <w:color w:val="000000"/>
        </w:rPr>
        <w:t>3. 쟁점</w:t>
      </w:r>
    </w:p>
    <w:p>
      <w:pPr>
        <w:autoSpaceDN w:val="0"/>
        <w:autoSpaceDE w:val="0"/>
      </w:pPr>
      <w:r>
        <w:rPr>
          <w:rFonts w:ascii="맑은 고딕" w:hAnsi="맑은 고딕" w:eastAsia="맑은 고딕" w:cs="맑은 고딕"/>
          <w:color w:val="000000"/>
          <w:u w:val="single"/>
        </w:rPr>
        <w:t>이 사건의 쟁점은, 공공수역에 ‘분뇨를 버린다’는 것의 의미와, 어느 정도 정화 과정을 거친 분뇨처리수를 투기한 경우 그 처벌을 위하여 무엇을 심리하여야 하는지 여부이다.</w:t>
      </w:r>
    </w:p>
    <w:p>
      <w:pPr>
        <w:autoSpaceDN w:val="0"/>
        <w:autoSpaceDE w:val="0"/>
      </w:pPr>
    </w:p>
    <w:p>
      <w:pPr>
        <w:autoSpaceDN w:val="0"/>
        <w:autoSpaceDE w:val="0"/>
        <w:pStyle w:val="2"/>
        <w:spacing w:before="80"/>
      </w:pPr>
      <w:r>
        <w:rPr>
          <w:rFonts w:ascii="맑은 고딕" w:hAnsi="맑은 고딕" w:eastAsia="맑은 고딕" w:cs="맑은 고딕"/>
          <w:color w:val="000000"/>
        </w:rPr>
        <w:t>4. 판단</w:t>
      </w:r>
    </w:p>
    <w:p>
      <w:pPr>
        <w:autoSpaceDN w:val="0"/>
        <w:autoSpaceDE w:val="0"/>
      </w:pPr>
      <w:r>
        <w:rPr>
          <w:rFonts w:ascii="맑은 고딕" w:hAnsi="맑은 고딕" w:eastAsia="맑은 고딕" w:cs="맑은 고딕"/>
          <w:b/>
          <w:color w:val="000000"/>
          <w:u w:val="single"/>
        </w:rPr>
        <w:t>① 원심의 판단 원심은 피고인 1이 투기한 분뇨처리수가 법이 정한 분뇨에 해당한다고 단정하여 공소사실을 유죄로 인정한 제1심판결을 그대로 유지하였다.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② 대법원의 판단 그러나 원심의 조치는 다음과 같은 이유로 수긍하기 어렵다.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③ 구 수질환경보전법은 정당한 사유 없이 공공수역에 분뇨를 버리는 행위를 금지하고 있는바, 여기서 분뇨를 버린다고 함은 물리적·화학적 또는 생물학적 방법에 의하여 분뇨를 안전하게 처리함이 없이 ‘분뇨인 상태’ 그대로 버리는 것을 말한다.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④ 한편 수질오염으로 인한 국민건강 및 환경상의 위해를 예방하고 공공수역의 수질을 적정하게 관리·보전하려는 법의 입법 목적에 비추어 보면, 여기서 ‘분뇨인 상태’라 함은 분뇨 그 자체뿐만 아니라 수질오염으로 인하여 국민건강 및 환경상의 위해를 초래할 정도의 분뇨가 함유된 폐수도 포함된다.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⑤ 그런데 피고인 1이 투기한 것은 이동식 분뇨처리 탈수차량을 이용하여 분뇨를 탈수 처리한 후의 분뇨처리수로서 어느 정도의 정화과정을 거친 것이고, 단속 공무원의 진술에 의하더라도 분뇨 자체가 아닌 액상이었다.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b/>
          <w:color w:val="000000"/>
          <w:u w:val="single"/>
        </w:rPr>
        <w:t>⑥ 이와 같이 투기한 것이 분뇨 그 자체가 아닌 경우라면, 적어도 ‘분뇨인 상태’ 즉 수질오염으로 인하여 국민건강 및 환경상의 위해를 초래할 정도의 분뇨가 함유된 폐수로 볼 수 있는 경우에만 ‘분뇨를 버리는 행위’에 해당한다고 할 수 있다.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u w:val="single"/>
        </w:rPr>
        <w:t>⑦ 그렇다면 원심으로서는 투기한 분뇨처리수가 위해를 초래할 정도의 분뇨가 함유된 폐수인지 여부를 가렸어야 한다.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b/>
          <w:color w:val="000000"/>
          <w:u w:val="single"/>
        </w:rPr>
        <w:t>⑧ 그럼에도 이러한 조치까지 나아가지 아니한 채 분뇨에 해당한다고 단정하여 유죄로 인정한 원심판결에는 분뇨의 개념에 관한 법리를 오해하거나 필요한 심리를 다하지 아니한 위법이 있다.</w:t>
      </w:r>
    </w:p>
    <w:p>
      <w:pPr>
        <w:autoSpaceDN w:val="0"/>
        <w:autoSpaceDE w:val="0"/>
      </w:pPr>
    </w:p>
    <w:p>
      <w:pPr>
        <w:autoSpaceDN w:val="0"/>
        <w:autoSpaceDE w:val="0"/>
        <w:pStyle w:val="2"/>
        <w:spacing w:before="80"/>
      </w:pPr>
      <w:r>
        <w:rPr>
          <w:rFonts w:ascii="맑은 고딕" w:hAnsi="맑은 고딕" w:eastAsia="맑은 고딕" w:cs="맑은 고딕"/>
          <w:color w:val="000000"/>
        </w:rPr>
        <w:t>5. 적용 법령</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500"/>
            <w:shd w:val="clear" w:color="auto" w:fill="D9D9D9"/>
            <w:tcBorders>
              <w:bottom w:val="double" w:sz="6" w:space="0" w:color="808080"/>
            </w:tcBorders>
          </w:tcPr>
          <w:p>
            <w:pPr>
              <w:autoSpaceDN w:val="0"/>
              <w:autoSpaceDE w:val="0"/>
            </w:pPr>
            <w:r>
              <w:rPr>
                <w:rFonts w:ascii="맑은 고딕" w:hAnsi="맑은 고딕" w:eastAsia="맑은 고딕" w:cs="맑은 고딕"/>
                <w:b/>
                <w:color w:val="000000"/>
                <w:sz w:val="19"/>
              </w:rPr>
              <w:t>조항</w:t>
            </w:r>
          </w:p>
        </w:tc>
        <w:tc>
          <w:tcPr>
            <w:tcW w:type="pct" w:w="3500"/>
            <w:shd w:val="clear" w:color="auto" w:fill="D9D9D9"/>
            <w:tcBorders>
              <w:bottom w:val="double" w:sz="6" w:space="0" w:color="808080"/>
            </w:tcBorders>
          </w:tcPr>
          <w:p>
            <w:pPr>
              <w:autoSpaceDN w:val="0"/>
              <w:autoSpaceDE w:val="0"/>
            </w:pPr>
            <w:r>
              <w:rPr>
                <w:rFonts w:ascii="맑은 고딕" w:hAnsi="맑은 고딕" w:eastAsia="맑은 고딕" w:cs="맑은 고딕"/>
                <w:b/>
                <w:color w:val="000000"/>
                <w:sz w:val="19"/>
              </w:rPr>
              <w:t>적용 문구</w:t>
            </w:r>
          </w:p>
        </w:tc>
      </w:tr>
      <w:tr>
        <w:tc>
          <w:tcPr>
            <w:tcW w:type="pct" w:w="1500"/>
            <w:shd w:val="clear" w:color="auto" w:fill="F2F2F2"/>
          </w:tcPr>
          <w:p>
            <w:pPr>
              <w:autoSpaceDN w:val="0"/>
              <w:autoSpaceDE w:val="0"/>
            </w:pPr>
            <w:r>
              <w:rPr>
                <w:rFonts w:ascii="맑은 고딕" w:hAnsi="맑은 고딕" w:eastAsia="맑은 고딕" w:cs="맑은 고딕"/>
                <w:b/>
                <w:color w:val="000000"/>
                <w:sz w:val="19"/>
              </w:rPr>
              <w:t>물환경보전법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제15조 제1항 제2호</w:t>
            </w:r>
          </w:p>
        </w:tc>
        <w:tc>
          <w:tcPr>
            <w:tcW w:type="pct" w:w="3500"/>
          </w:tcPr>
          <w:p>
            <w:pPr>
              <w:autoSpaceDN w:val="0"/>
              <w:autoSpaceDE w:val="0"/>
            </w:pPr>
            <w:r>
              <w:rPr>
                <w:rFonts w:ascii="맑은 고딕" w:hAnsi="맑은 고딕" w:eastAsia="맑은 고딕" w:cs="맑은 고딕"/>
                <w:color w:val="000000"/>
                <w:sz w:val="19"/>
              </w:rPr>
              <w:t>누구든지 정당한 사유 없이 공공수역에 분뇨, 가축분뇨, 동물의 사체, 폐기물 또는 오니를 버리는 행위를 하여서는 아니 된다.</w:t>
            </w:r>
          </w:p>
        </w:tc>
      </w:tr>
      <w:tr>
        <w:tc>
          <w:tcPr>
            <w:tcW w:type="pct" w:w="1500"/>
            <w:shd w:val="clear" w:color="auto" w:fill="F2F2F2"/>
          </w:tcPr>
          <w:p>
            <w:pPr>
              <w:autoSpaceDN w:val="0"/>
              <w:autoSpaceDE w:val="0"/>
            </w:pPr>
            <w:r>
              <w:rPr>
                <w:rFonts w:ascii="맑은 고딕" w:hAnsi="맑은 고딕" w:eastAsia="맑은 고딕" w:cs="맑은 고딕"/>
                <w:b/>
                <w:color w:val="000000"/>
                <w:sz w:val="19"/>
              </w:rPr>
              <w:t>물환경보전법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제2조 제9호</w:t>
            </w:r>
          </w:p>
        </w:tc>
        <w:tc>
          <w:tcPr>
            <w:tcW w:type="pct" w:w="3500"/>
          </w:tcPr>
          <w:p>
            <w:pPr>
              <w:autoSpaceDN w:val="0"/>
              <w:autoSpaceDE w:val="0"/>
            </w:pPr>
            <w:r>
              <w:rPr>
                <w:rFonts w:ascii="맑은 고딕" w:hAnsi="맑은 고딕" w:eastAsia="맑은 고딕" w:cs="맑은 고딕"/>
                <w:color w:val="000000"/>
                <w:sz w:val="19"/>
              </w:rPr>
              <w:t>‘공공수역’이란 하천, 호소, 항만, 연안해역, 그 밖에 공공용으로 사용되는 수역과 이에 접속하여 공공용으로 사용되는 기후에너지환경부령으로 정하는 수로를 말한다.</w:t>
            </w:r>
          </w:p>
        </w:tc>
      </w:tr>
      <w:tr>
        <w:tc>
          <w:tcPr>
            <w:tcW w:type="pct" w:w="1500"/>
            <w:shd w:val="clear" w:color="auto" w:fill="F2F2F2"/>
          </w:tcPr>
          <w:p>
            <w:pPr>
              <w:autoSpaceDN w:val="0"/>
              <w:autoSpaceDE w:val="0"/>
            </w:pPr>
            <w:r>
              <w:rPr>
                <w:rFonts w:ascii="맑은 고딕" w:hAnsi="맑은 고딕" w:eastAsia="맑은 고딕" w:cs="맑은 고딕"/>
                <w:b/>
                <w:color w:val="000000"/>
                <w:sz w:val="19"/>
              </w:rPr>
              <w:t>물환경보전법 시행규칙</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제5조 [별표 3]</w:t>
            </w:r>
          </w:p>
        </w:tc>
        <w:tc>
          <w:tcPr>
            <w:tcW w:type="pct" w:w="3500"/>
          </w:tcPr>
          <w:p>
            <w:pPr>
              <w:autoSpaceDN w:val="0"/>
              <w:autoSpaceDE w:val="0"/>
            </w:pPr>
            <w:r>
              <w:rPr>
                <w:rFonts w:ascii="맑은 고딕" w:hAnsi="맑은 고딕" w:eastAsia="맑은 고딕" w:cs="맑은 고딕"/>
                <w:color w:val="000000"/>
                <w:sz w:val="19"/>
              </w:rPr>
              <w:t>공공수역에 해당하는 수로로 지하수로, 농업용수로, 하수관로, 운하를 정하고 있다.</w:t>
            </w:r>
          </w:p>
        </w:tc>
      </w:tr>
      <w:tr>
        <w:tc>
          <w:tcPr>
            <w:tcW w:type="pct" w:w="1500"/>
            <w:shd w:val="clear" w:color="auto" w:fill="F2F2F2"/>
          </w:tcPr>
          <w:p>
            <w:pPr>
              <w:autoSpaceDN w:val="0"/>
              <w:autoSpaceDE w:val="0"/>
            </w:pPr>
            <w:r>
              <w:rPr>
                <w:rFonts w:ascii="맑은 고딕" w:hAnsi="맑은 고딕" w:eastAsia="맑은 고딕" w:cs="맑은 고딕"/>
                <w:b/>
                <w:color w:val="000000"/>
                <w:sz w:val="19"/>
              </w:rPr>
              <w:t>물환경보전법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제78조</w:t>
            </w:r>
          </w:p>
        </w:tc>
        <w:tc>
          <w:tcPr>
            <w:tcW w:type="pct" w:w="3500"/>
          </w:tcPr>
          <w:p>
            <w:pPr>
              <w:autoSpaceDN w:val="0"/>
              <w:autoSpaceDE w:val="0"/>
            </w:pPr>
            <w:r>
              <w:rPr>
                <w:rFonts w:ascii="맑은 고딕" w:hAnsi="맑은 고딕" w:eastAsia="맑은 고딕" w:cs="맑은 고딕"/>
                <w:color w:val="000000"/>
                <w:sz w:val="19"/>
              </w:rPr>
              <w:t>제15조 제1항 제2호를 위반하여 공공수역에 분뇨 등을 버린 자를 처벌한다.</w:t>
            </w:r>
          </w:p>
        </w:tc>
      </w:tr>
      <w:tr>
        <w:tc>
          <w:tcPr>
            <w:tcW w:type="pct" w:w="1500"/>
            <w:shd w:val="clear" w:color="auto" w:fill="F2F2F2"/>
          </w:tcPr>
          <w:p>
            <w:pPr>
              <w:autoSpaceDN w:val="0"/>
              <w:autoSpaceDE w:val="0"/>
            </w:pPr>
            <w:r>
              <w:rPr>
                <w:rFonts w:ascii="맑은 고딕" w:hAnsi="맑은 고딕" w:eastAsia="맑은 고딕" w:cs="맑은 고딕"/>
                <w:b/>
                <w:color w:val="000000"/>
                <w:sz w:val="19"/>
              </w:rPr>
              <w:t>물환경보전법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제81조</w:t>
            </w:r>
          </w:p>
        </w:tc>
        <w:tc>
          <w:tcPr>
            <w:tcW w:type="pct" w:w="3500"/>
          </w:tcPr>
          <w:p>
            <w:pPr>
              <w:autoSpaceDN w:val="0"/>
              <w:autoSpaceDE w:val="0"/>
            </w:pPr>
            <w:r>
              <w:rPr>
                <w:rFonts w:ascii="맑은 고딕" w:hAnsi="맑은 고딕" w:eastAsia="맑은 고딕" w:cs="맑은 고딕"/>
                <w:color w:val="000000"/>
                <w:sz w:val="19"/>
              </w:rPr>
              <w:t>법인의 대표자나 법인 또는 개인의 대리인, 사용인, 그 밖의 종업원이 그 법인 또는 개인의 업무에 관하여 위반행위를 하면 그 행위자를 벌하는 외에 그 법인 또는 개인에게도 해당 조문의 벌금형을 과한다.</w:t>
            </w:r>
          </w:p>
        </w:tc>
      </w:tr>
    </w:tbl>
    <w:p>
      <w:pPr>
        <w:autoSpaceDN w:val="0"/>
        <w:autoSpaceDE w:val="0"/>
        <w:pStyle w:val="note"/>
        <w:spacing w:before="80"/>
      </w:pPr>
      <w:r>
        <w:rPr>
          <w:rFonts w:ascii="맑은 고딕" w:hAnsi="맑은 고딕" w:eastAsia="맑은 고딕" w:cs="맑은 고딕"/>
          <w:color w:val="000000"/>
        </w:rPr>
        <w:t>※ ‘적용 문구’는 현행 조문을 요약한 것으로, 구법이 적용된 사건은 당시 조문과 다를 수 있습니다.</w:t>
      </w:r>
    </w:p>
    <w:p>
      <w:pPr>
        <w:autoSpaceDN w:val="0"/>
        <w:autoSpaceDE w:val="0"/>
        <w:pStyle w:val="note"/>
        <w:spacing w:before="120"/>
      </w:pPr>
      <w:r>
        <w:rPr>
          <w:rFonts w:ascii="맑은 고딕" w:hAnsi="맑은 고딕" w:eastAsia="맑은 고딕" w:cs="맑은 고딕"/>
          <w:color w:val="000000"/>
        </w:rPr>
        <w:t>※ 본 정리는 국가법령정보센터 판례를 정리한 참고자료이며, 구체적 사안은 판결 원문과 전문가 검토가 필요합니다.</w:t>
      </w:r>
    </w:p>
    <w:p>
      <w:pPr>
        <w:autoSpaceDN w:val="0"/>
        <w:autoSpaceDE w:val="0"/>
        <w:spacing w:before="120"/>
      </w:pPr>
      <w:r>
        <w:rPr>
          <w:rFonts w:ascii="맑은 고딕" w:hAnsi="맑은 고딕" w:eastAsia="맑은 고딕" w:cs="맑은 고딕"/>
          <w:color w:val="000000"/>
          <w:sz w:val="18"/>
        </w:rPr>
        <w:t>원문  https://www.law.go.kr/판례/(2008도6298)</w:t>
      </w:r>
    </w:p>
    <w:p>
      <w:pPr>
        <w:autoSpaceDN w:val="0"/>
        <w:autoSpaceDE w:val="0"/>
        <w:spacing w:before="80"/>
      </w:pPr>
      <w:r>
        <w:rPr>
          <w:rFonts w:ascii="맑은 고딕" w:hAnsi="맑은 고딕" w:eastAsia="맑은 고딕" w:cs="맑은 고딕"/>
          <w:color w:val="000000"/>
          <w:sz w:val="18"/>
        </w:rPr>
        <w:t>태그  #물환경보전법 #공공수역 #분뇨 #무단투기 #배출금지 #하수관로 #형사판례 #대법원판례 #2008년판례 #2008도6298 #환경법 #환경인허가 #인허가서대리 #서대리</w:t>
      </w:r>
    </w:p>
    <w:p>
      <w:pPr>
        <w:autoSpaceDN w:val="0"/>
        <w:autoSpaceDE w:val="0"/>
        <w:pStyle w:val="mark"/>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