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시료의 동일성이 담보되지 않으면 수질검사 결과를 믿을 수 없습니다. (2009도14772)</w:t>
      </w:r>
    </w:p>
    <w:p>
      <w:pPr>
        <w:autoSpaceDN w:val="0"/>
        <w:autoSpaceDE w:val="0"/>
        <w:pStyle w:val="law1"/>
        <w:spacing w:after="160"/>
      </w:pPr>
      <w:r>
        <w:rPr>
          <w:rFonts w:ascii="맑은 고딕" w:hAnsi="맑은 고딕" w:eastAsia="맑은 고딕" w:cs="맑은 고딕"/>
          <w:color w:val="000000"/>
        </w:rPr>
        <w:t>대법원 2009도14772 (2010.03.25 선고)</w:t>
      </w:r>
    </w:p>
    <w:p>
      <w:pPr>
        <w:autoSpaceDN w:val="0"/>
        <w:autoSpaceDE w:val="0"/>
        <w:spacing w:after="120"/>
      </w:pPr>
      <w:r>
        <w:rPr>
          <w:rFonts w:ascii="맑은 고딕" w:hAnsi="맑은 고딕" w:eastAsia="맑은 고딕" w:cs="맑은 고딕"/>
          <w:color w:val="000000"/>
        </w:rPr>
        <w:t>○ 폐수를 무단 방류하여 배출허용기준을 초과했다는 공소사실에서 ‘폐수 수질검사 결과 회신’의 증명력이 문제된 사건입니다. 대법원은 과학적 증거방법이 구속력을 가지려면 시료의 채취·보관·분석 모든 과정에서 동일성이 인정되고 인수·인계 기록이 유지되어야 한다고 보아, 이를 유죄의 증거로 삼기 부족하다고 한 원심을 수긍하였습니다.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공인기관의 수질검사 결과면 그대로 믿어야 하나요?</w:t>
            </w:r>
          </w:p>
          <w:p>
            <w:pPr>
              <w:autoSpaceDN w:val="0"/>
              <w:autoSpaceDE w:val="0"/>
            </w:pPr>
            <w:r>
              <w:rPr>
                <w:rFonts w:ascii="맑은 고딕" w:hAnsi="맑은 고딕" w:eastAsia="맑은 고딕" w:cs="맑은 고딕"/>
                <w:color w:val="000000"/>
                <w:sz w:val="19"/>
              </w:rPr>
              <w:t>A. 전문지식과 경험을 지닌 감정인이 표준적 분석기법으로 적정한 절차를 통해 수행했다면 상당한 구속력을 갖지만, 그것만으로는 부족합니다.</w:t>
            </w:r>
          </w:p>
          <w:p>
            <w:pPr>
              <w:autoSpaceDN w:val="0"/>
              <w:autoSpaceDE w:val="0"/>
            </w:pPr>
          </w:p>
          <w:p>
            <w:pPr>
              <w:autoSpaceDN w:val="0"/>
              <w:autoSpaceDE w:val="0"/>
            </w:pPr>
            <w:r>
              <w:rPr>
                <w:rFonts w:ascii="맑은 고딕" w:hAnsi="맑은 고딕" w:eastAsia="맑은 고딕" w:cs="맑은 고딕"/>
                <w:b/>
                <w:color w:val="000000"/>
                <w:sz w:val="19"/>
              </w:rPr>
              <w:t>Q. 무엇이 더 필요한가요?</w:t>
            </w:r>
          </w:p>
          <w:p>
            <w:pPr>
              <w:autoSpaceDN w:val="0"/>
              <w:autoSpaceDE w:val="0"/>
            </w:pPr>
            <w:r>
              <w:rPr>
                <w:rFonts w:ascii="맑은 고딕" w:hAnsi="맑은 고딕" w:eastAsia="맑은 고딕" w:cs="맑은 고딕"/>
                <w:color w:val="000000"/>
                <w:sz w:val="19"/>
              </w:rPr>
              <w:t>A. 시료의 채취·보관·분석 등 모든 과정에서 시료의 동일성이 인정되고 인위적인 조작·훼손·첨가가 없었음이 담보되어야 하며, 각 단계에서 시료에 대한 정확한 인수·인계 절차를 확인할 수 있는 기록이 유지되어야 합니다.</w:t>
            </w:r>
          </w:p>
          <w:p>
            <w:pPr>
              <w:autoSpaceDN w:val="0"/>
              <w:autoSpaceDE w:val="0"/>
            </w:pPr>
          </w:p>
          <w:p>
            <w:pPr>
              <w:autoSpaceDN w:val="0"/>
              <w:autoSpaceDE w:val="0"/>
            </w:pPr>
            <w:r>
              <w:rPr>
                <w:rFonts w:ascii="맑은 고딕" w:hAnsi="맑은 고딕" w:eastAsia="맑은 고딕" w:cs="맑은 고딕"/>
                <w:b/>
                <w:color w:val="000000"/>
                <w:sz w:val="19"/>
              </w:rPr>
              <w:t>Q. 실무에서는 무엇을 확인해야 하나요?</w:t>
            </w:r>
          </w:p>
          <w:p>
            <w:pPr>
              <w:autoSpaceDN w:val="0"/>
              <w:autoSpaceDE w:val="0"/>
            </w:pPr>
            <w:r>
              <w:rPr>
                <w:rFonts w:ascii="맑은 고딕" w:hAnsi="맑은 고딕" w:eastAsia="맑은 고딕" w:cs="맑은 고딕"/>
                <w:color w:val="000000"/>
                <w:sz w:val="19"/>
              </w:rPr>
              <w:t>A. 시료번호와 채취시각의 일치, 원폐수 시료의 보관·폐기 경위, 채취지점 사이의 성분 정합성 등 기록의 앞뒤가 맞는지 확인하는 것이 중요합니다.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2009도14772</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2010.03.25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피고인 사업자 · 상고인 검사</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형사 (수질환경보전법위반)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울산지법 2009노225 (2009. 12. 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상고기각 (원심 확정)</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검사는 피고인이 수질오염 방지시설을 가동하지 아니한 채 폐수를 무단 방류함으로써 배출허용기준을 초과하여 특정수질유해물질을 배출하였다는 공소사실로 기소하였다.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그 증거로 제출된 보건환경연구원의 ‘폐수 수질검사 결과 회신’에는 92번 시료에서 배출허용기준치보다 높은 10.8의 수소이온농도와 74.79㎎/ℓ의 시안이 검출된 것으로 기재되어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그런데 단속기관은 폐수처리 전의 원폐수인 C 시료를 참고용으로 채취하였으나 성분검사를 의뢰하지 않고 폐기하였다고 하면서, 누가·언제·어떤 절차로 폐기하였는지는 밝히지 못하였다.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최종방류구에서 20보 떨어진 지점에서 채취한 A 시료와 B 시료는 성분이 유사하여야 함에도, 단속기관이 A·B 시료라고 주장하는 91번·92번 시료는 시안 함량이 180배나 차이가 났다.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또한 시료채취기록부에 기재된 91번·92번 시료의 채취시각이 담당자가 수첩에 기재한 B·C 시료의 채취시각과 일치하였다.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위 사정들을 종합하여 92번 시료는 최종방류수에서 채취한 B 시료가 아니라 처리 전 원폐수에서 채취한 C 시료로 봄이 상당하다고 보아, 위 회신을 유죄의 증거로 삼기 부족하다며 무죄를 선고하였다.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폐수 수질검사와 같은 과학적 증거방법이 사실인정에서 상당한 정도의 구속력을 갖기 위한 요건이 무엇인지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시료의 폐기 경위가 밝혀지지 않은 점, 인접 지점 시료 사이에 시안 함량이 180배나 차이 나는 점, 채취시각 기재가 어긋나는 점 등을 종합하여, ‘폐수 수질검사 결과 회신’을 유죄의 증거로 삼기에 부족하다고 보아 무죄를 선고한 제1심을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대법원의 판단 원심의 판단은 법리를 토대로 사실심 법관의 합리적인 자유심증에 따른 것으로 수긍이 되고, 거기에 법리오해 등의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폐수 수질검사와 같은 과학적 증거방법은 전문지식과 경험을 지닌 감정인이 시료에 대하여 일반적으로 확립된 표준적인 분석기법을 활용하여 분석을 실행하고, 그 분석이 적정한 절차를 통하여 수행되었음이 인정되는 이상 법관이 사실인정을 함에 있어 상당한 정도로 구속력을 가진다.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따라서 비록 사실의 인정이 사실심의 전권이라 하더라도 아무런 합리적 근거 없이 함부로 이를 배척하는 것은 자유심증주의의 한계를 벗어나는 것으로서 허용될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그러나 이러한 과학적 증거방법이 사실인정에 있어서 상당한 정도로 구속력을 갖기 위해서는, 감정인이 전문적인 지식·기술·경험을 가지고 공인된 표준 검사기법으로 분석을 거쳐 법원에 제출하였다는 것만으로는 부족하다.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나아가 시료의 채취·보관·분석 등 모든 과정에서 시료의 동일성이 인정되고 인위적인 조작·훼손·첨가가 없었음이 담보되어야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또한 각 단계에서 시료에 대한 정확한 인수·인계 절차를 확인할 수 있는 기록이 유지되어야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이 사건에서는 원폐수 시료의 폐기 경위가 밝혀지지 않고 인접 지점 시료 사이의 성분 차이와 채취시각 기재의 불일치가 확인되는 등 시료의 동일성이 담보되지 아니하였으므로, 위 회신을 유죄의 증거로 삼기 부족하다고 본 원심의 판단은 정당하다.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u w:val="single"/>
        </w:rPr>
        <w:t>① 폐수 수질검사와 같은 과학적 증거방법이 사실인정에 있어서 상당한 정도로 구속력을 갖기 위해서는, 감정인이 전문적인 지식·기술·경험을 가지고 공인된 표준 검사기법으로 분석을 거쳐 법원에 제출하였다는 것만으로는 부족하고, 시료의 채취·보관·분석 등 모든 과정에서 시료의 동일성이 인정되고 인위적인 조작·훼손·첨가가 없었음이 담보되어야 하며 각 단계에서 시료에 대한 정확한 인수·인계 절차를 확인할 수 있는 기록이 유지되어야 한다.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제1항</w:t>
            </w:r>
          </w:p>
        </w:tc>
        <w:tc>
          <w:tcPr>
            <w:tcW w:type="pct" w:w="3500"/>
          </w:tcPr>
          <w:p>
            <w:pPr>
              <w:autoSpaceDN w:val="0"/>
              <w:autoSpaceDE w:val="0"/>
            </w:pPr>
            <w:r>
              <w:rPr>
                <w:rFonts w:ascii="맑은 고딕" w:hAnsi="맑은 고딕" w:eastAsia="맑은 고딕" w:cs="맑은 고딕"/>
                <w:color w:val="000000"/>
                <w:sz w:val="19"/>
              </w:rPr>
              <w:t>폐수배출시설에서 배출되는 수질오염물질의 배출허용기준은 기후에너지환경부령으로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 제4호</w:t>
            </w:r>
          </w:p>
        </w:tc>
        <w:tc>
          <w:tcPr>
            <w:tcW w:type="pct" w:w="3500"/>
          </w:tcPr>
          <w:p>
            <w:pPr>
              <w:autoSpaceDN w:val="0"/>
              <w:autoSpaceDE w:val="0"/>
            </w:pPr>
            <w:r>
              <w:rPr>
                <w:rFonts w:ascii="맑은 고딕" w:hAnsi="맑은 고딕" w:eastAsia="맑은 고딕" w:cs="맑은 고딕"/>
                <w:color w:val="000000"/>
                <w:sz w:val="19"/>
              </w:rPr>
              <w:t>배출시설 및 방지시설을 정당한 사유 없이 정상적으로 가동하지 아니하여 배출허용기준을 초과한 수질오염물질을 배출하는 행위를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제76조</w:t>
            </w:r>
          </w:p>
        </w:tc>
        <w:tc>
          <w:tcPr>
            <w:tcW w:type="pct" w:w="3500"/>
          </w:tcPr>
          <w:p>
            <w:pPr>
              <w:autoSpaceDN w:val="0"/>
              <w:autoSpaceDE w:val="0"/>
            </w:pPr>
            <w:r>
              <w:rPr>
                <w:rFonts w:ascii="맑은 고딕" w:hAnsi="맑은 고딕" w:eastAsia="맑은 고딕" w:cs="맑은 고딕"/>
                <w:color w:val="000000"/>
                <w:sz w:val="19"/>
              </w:rPr>
              <w:t>제38조 제1항 각 호의 어느 하나에 해당하는 행위를 한 자를 처벌한다.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제34조 [별표 13]</w:t>
            </w:r>
          </w:p>
        </w:tc>
        <w:tc>
          <w:tcPr>
            <w:tcW w:type="pct" w:w="3500"/>
          </w:tcPr>
          <w:p>
            <w:pPr>
              <w:autoSpaceDN w:val="0"/>
              <w:autoSpaceDE w:val="0"/>
            </w:pPr>
            <w:r>
              <w:rPr>
                <w:rFonts w:ascii="맑은 고딕" w:hAnsi="맑은 고딕" w:eastAsia="맑은 고딕" w:cs="맑은 고딕"/>
                <w:color w:val="000000"/>
                <w:sz w:val="19"/>
              </w:rPr>
              <w:t>수질오염물질의 배출허용기준을 지역구분과 항목별로 정하고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형사소송법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제308조</w:t>
            </w:r>
          </w:p>
        </w:tc>
        <w:tc>
          <w:tcPr>
            <w:tcW w:type="pct" w:w="3500"/>
          </w:tcPr>
          <w:p>
            <w:pPr>
              <w:autoSpaceDN w:val="0"/>
              <w:autoSpaceDE w:val="0"/>
            </w:pPr>
            <w:r>
              <w:rPr>
                <w:rFonts w:ascii="맑은 고딕" w:hAnsi="맑은 고딕" w:eastAsia="맑은 고딕" w:cs="맑은 고딕"/>
                <w:color w:val="000000"/>
                <w:sz w:val="19"/>
              </w:rPr>
              <w:t>증거의 증명력은 법관의 자유판단에 의한다.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https://www.law.go.kr/판례/(2009도14772)</w:t>
      </w:r>
    </w:p>
    <w:p>
      <w:pPr>
        <w:autoSpaceDN w:val="0"/>
        <w:autoSpaceDE w:val="0"/>
        <w:spacing w:before="80"/>
      </w:pPr>
      <w:r>
        <w:rPr>
          <w:rFonts w:ascii="맑은 고딕" w:hAnsi="맑은 고딕" w:eastAsia="맑은 고딕" w:cs="맑은 고딕"/>
          <w:color w:val="000000"/>
          <w:sz w:val="18"/>
        </w:rPr>
        <w:t>태그  #물환경보전법 #시료채취 #수질검사 #과학적증거 #동일성 #무단방류 #형사판례 #대법원판례 #2010년판례 #2009도14772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