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N w:val="0"/>
        <w:autoSpaceDE w:val="0"/>
        <w:spacing w:after="60"/>
      </w:pPr>
      <w:r>
        <w:rPr>
          <w:rFonts w:ascii="맑은 고딕" w:hAnsi="맑은 고딕" w:eastAsia="맑은 고딕" w:cs="맑은 고딕"/>
          <w:b/>
          <w:color w:val="000000"/>
          <w:sz w:val="30"/>
        </w:rPr>
        <w:t>경매로 공장을 취득한 자는 종말처리 부담금을 승계하지 않습니다. (2011두12672)</w:t>
      </w:r>
    </w:p>
    <w:p>
      <w:pPr>
        <w:autoSpaceDN w:val="0"/>
        <w:autoSpaceDE w:val="0"/>
        <w:pStyle w:val="law1"/>
        <w:spacing w:after="160"/>
      </w:pPr>
      <w:r>
        <w:rPr>
          <w:rFonts w:ascii="맑은 고딕" w:hAnsi="맑은 고딕" w:eastAsia="맑은 고딕" w:cs="맑은 고딕"/>
          <w:color w:val="000000"/>
        </w:rPr>
        <w:t>대법원 2011두12672 (2013.02.14 선고)</w:t>
      </w:r>
    </w:p>
    <w:p>
      <w:pPr>
        <w:autoSpaceDN w:val="0"/>
        <w:autoSpaceDE w:val="0"/>
        <w:spacing w:after="120"/>
      </w:pPr>
      <w:r>
        <w:rPr>
          <w:rFonts w:ascii="맑은 고딕" w:hAnsi="맑은 고딕" w:eastAsia="맑은 고딕" w:cs="맑은 고딕"/>
          <w:color w:val="000000"/>
        </w:rPr>
        <w:t>○ 경매로 공장을 취득한 자에게 종전 사업자가 체납한 폐수종말처리시설 부담금을 부과한 사건입니다. 대법원은 법이 정한 ‘공장 또는 사업장 등을 양수한 자’란 양도인과의 법률행위로 소유권을 이전받은 사람을 말하므로, 경매를 통하여 소유권을 이전받은 사람은 포함되지 않는다고 보았습니다.</w:t>
      </w:r>
    </w:p>
    <w:p>
      <w:pPr>
        <w:autoSpaceDN w:val="0"/>
        <w:autoSpaceDE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21"/>
              </w:rPr>
              <w:t>※ 간단요약</w:t>
            </w:r>
          </w:p>
        </w:tc>
      </w:tr>
      <w:tr>
        <w:tc>
          <w:tcPr>
            <w:tcW w:type="pct" w:w="5000"/>
            <w:shd w:val="clear" w:color="auto" w:fill="F7F7F7"/>
          </w:tcPr>
          <w:p>
            <w:pPr>
              <w:autoSpaceDN w:val="0"/>
              <w:autoSpaceDE w:val="0"/>
            </w:pPr>
            <w:r>
              <w:rPr>
                <w:rFonts w:ascii="맑은 고딕" w:hAnsi="맑은 고딕" w:eastAsia="맑은 고딕" w:cs="맑은 고딕"/>
                <w:b/>
                <w:color w:val="000000"/>
                <w:sz w:val="19"/>
              </w:rPr>
              <w:t>Q. 경매로 공장을 낙찰받으면 종전 사업자의 부담금도 떠안나요?</w:t>
            </w:r>
          </w:p>
          <w:p>
            <w:pPr>
              <w:autoSpaceDN w:val="0"/>
              <w:autoSpaceDE w:val="0"/>
            </w:pPr>
            <w:r>
              <w:rPr>
                <w:rFonts w:ascii="맑은 고딕" w:hAnsi="맑은 고딕" w:eastAsia="맑은 고딕" w:cs="맑은 고딕"/>
                <w:color w:val="000000"/>
                <w:sz w:val="19"/>
              </w:rPr>
              <w:t>A. 아닙니다. 법이 정한 ‘양수한 자’에 경매를 통하여 소유권을 이전받은 사람은 포함되지 않습니다.</w:t>
            </w:r>
          </w:p>
          <w:p>
            <w:pPr>
              <w:autoSpaceDN w:val="0"/>
              <w:autoSpaceDE w:val="0"/>
            </w:pPr>
          </w:p>
          <w:p>
            <w:pPr>
              <w:autoSpaceDN w:val="0"/>
              <w:autoSpaceDE w:val="0"/>
            </w:pPr>
            <w:r>
              <w:rPr>
                <w:rFonts w:ascii="맑은 고딕" w:hAnsi="맑은 고딕" w:eastAsia="맑은 고딕" w:cs="맑은 고딕"/>
                <w:b/>
                <w:color w:val="000000"/>
                <w:sz w:val="19"/>
              </w:rPr>
              <w:t>Q. 왜 그렇게 보나요?</w:t>
            </w:r>
          </w:p>
          <w:p>
            <w:pPr>
              <w:autoSpaceDN w:val="0"/>
              <w:autoSpaceDE w:val="0"/>
            </w:pPr>
            <w:r>
              <w:rPr>
                <w:rFonts w:ascii="맑은 고딕" w:hAnsi="맑은 고딕" w:eastAsia="맑은 고딕" w:cs="맑은 고딕"/>
                <w:color w:val="000000"/>
                <w:sz w:val="19"/>
              </w:rPr>
              <w:t>A. 경매 절차에서 인수한 자는 전 소유자와 부담금 승계에 관한 약정을 할 것을 기대하기 어렵고, 법이 양도·양수와 경매에 따른 인수를 구분하여 규정하고 있기 때문입니다.</w:t>
            </w:r>
          </w:p>
          <w:p>
            <w:pPr>
              <w:autoSpaceDN w:val="0"/>
              <w:autoSpaceDE w:val="0"/>
            </w:pPr>
          </w:p>
          <w:p>
            <w:pPr>
              <w:autoSpaceDN w:val="0"/>
              <w:autoSpaceDE w:val="0"/>
            </w:pPr>
            <w:r>
              <w:rPr>
                <w:rFonts w:ascii="맑은 고딕" w:hAnsi="맑은 고딕" w:eastAsia="맑은 고딕" w:cs="맑은 고딕"/>
                <w:b/>
                <w:color w:val="000000"/>
                <w:sz w:val="19"/>
              </w:rPr>
              <w:t>Q. 부담금을 내기로 합의하면 부과할 수 있나요?</w:t>
            </w:r>
          </w:p>
          <w:p>
            <w:pPr>
              <w:autoSpaceDN w:val="0"/>
              <w:autoSpaceDE w:val="0"/>
            </w:pPr>
            <w:r>
              <w:rPr>
                <w:rFonts w:ascii="맑은 고딕" w:hAnsi="맑은 고딕" w:eastAsia="맑은 고딕" w:cs="맑은 고딕"/>
                <w:color w:val="000000"/>
                <w:sz w:val="19"/>
              </w:rPr>
              <w:t>A. 없습니다. 부담금은 근거 법령에서 정한 요건과 절차에 따라 부과되어야 하는 것이지 당사자의 합의로 부과 여부가 결정될 수 없습니다.</w:t>
            </w:r>
          </w:p>
        </w:tc>
      </w:tr>
    </w:tbl>
    <w:p>
      <w:pPr>
        <w:autoSpaceDN w:val="0"/>
        <w:autoSpaceDE w:val="0"/>
      </w:pPr>
    </w:p>
    <w:p>
      <w:pPr>
        <w:autoSpaceDN w:val="0"/>
        <w:autoSpaceDE w:val="0"/>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N w:val="0"/>
              <w:autoSpaceDE w:val="0"/>
            </w:pPr>
            <w:r>
              <w:rPr>
                <w:rFonts w:ascii="맑은 고딕" w:hAnsi="맑은 고딕" w:eastAsia="맑은 고딕" w:cs="맑은 고딕"/>
                <w:b/>
                <w:color w:val="000000"/>
                <w:sz w:val="19"/>
              </w:rPr>
              <w:t>사건번호</w:t>
            </w:r>
          </w:p>
        </w:tc>
        <w:tc>
          <w:tcPr>
            <w:tcW w:type="pct" w:w="3800"/>
          </w:tcPr>
          <w:p>
            <w:pPr>
              <w:autoSpaceDN w:val="0"/>
              <w:autoSpaceDE w:val="0"/>
            </w:pPr>
            <w:r>
              <w:rPr>
                <w:rFonts w:ascii="맑은 고딕" w:hAnsi="맑은 고딕" w:eastAsia="맑은 고딕" w:cs="맑은 고딕"/>
                <w:color w:val="000000"/>
                <w:sz w:val="19"/>
              </w:rPr>
              <w:t>2011두12672</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선고일자</w:t>
            </w:r>
          </w:p>
        </w:tc>
        <w:tc>
          <w:tcPr>
            <w:tcW w:type="pct" w:w="3800"/>
          </w:tcPr>
          <w:p>
            <w:pPr>
              <w:autoSpaceDN w:val="0"/>
              <w:autoSpaceDE w:val="0"/>
            </w:pPr>
            <w:r>
              <w:rPr>
                <w:rFonts w:ascii="맑은 고딕" w:hAnsi="맑은 고딕" w:eastAsia="맑은 고딕" w:cs="맑은 고딕"/>
                <w:color w:val="000000"/>
                <w:sz w:val="19"/>
              </w:rPr>
              <w:t>2013.02.14</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법원</w:t>
            </w:r>
          </w:p>
        </w:tc>
        <w:tc>
          <w:tcPr>
            <w:tcW w:type="pct" w:w="3800"/>
          </w:tcPr>
          <w:p>
            <w:pPr>
              <w:autoSpaceDN w:val="0"/>
              <w:autoSpaceDE w:val="0"/>
            </w:pPr>
            <w:r>
              <w:rPr>
                <w:rFonts w:ascii="맑은 고딕" w:hAnsi="맑은 고딕" w:eastAsia="맑은 고딕" w:cs="맑은 고딕"/>
                <w:color w:val="000000"/>
                <w:sz w:val="19"/>
              </w:rPr>
              <w:t>대법원</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당사자</w:t>
            </w:r>
          </w:p>
        </w:tc>
        <w:tc>
          <w:tcPr>
            <w:tcW w:type="pct" w:w="3800"/>
          </w:tcPr>
          <w:p>
            <w:pPr>
              <w:autoSpaceDN w:val="0"/>
              <w:autoSpaceDE w:val="0"/>
            </w:pPr>
            <w:r>
              <w:rPr>
                <w:rFonts w:ascii="맑은 고딕" w:hAnsi="맑은 고딕" w:eastAsia="맑은 고딕" w:cs="맑은 고딕"/>
                <w:color w:val="000000"/>
                <w:sz w:val="19"/>
              </w:rPr>
              <w:t>원고 ○○○ 주식회사 · 피고 동해시장</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사건종류</w:t>
            </w:r>
          </w:p>
        </w:tc>
        <w:tc>
          <w:tcPr>
            <w:tcW w:type="pct" w:w="3800"/>
          </w:tcPr>
          <w:p>
            <w:pPr>
              <w:autoSpaceDN w:val="0"/>
              <w:autoSpaceDE w:val="0"/>
            </w:pPr>
            <w:r>
              <w:rPr>
                <w:rFonts w:ascii="맑은 고딕" w:hAnsi="맑은 고딕" w:eastAsia="맑은 고딕" w:cs="맑은 고딕"/>
                <w:color w:val="000000"/>
                <w:sz w:val="19"/>
              </w:rPr>
              <w:t>일반행정 (폐수종말처리장 부담금 납부의무 부존재 확인)</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원심</w:t>
            </w:r>
          </w:p>
        </w:tc>
        <w:tc>
          <w:tcPr>
            <w:tcW w:type="pct" w:w="3800"/>
          </w:tcPr>
          <w:p>
            <w:pPr>
              <w:autoSpaceDN w:val="0"/>
              <w:autoSpaceDE w:val="0"/>
            </w:pPr>
            <w:r>
              <w:rPr>
                <w:rFonts w:ascii="맑은 고딕" w:hAnsi="맑은 고딕" w:eastAsia="맑은 고딕" w:cs="맑은 고딕"/>
                <w:color w:val="000000"/>
                <w:sz w:val="19"/>
              </w:rPr>
              <w:t>서울고법 (춘천)2010누646 (2011. 5. 18.)</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결과</w:t>
            </w:r>
          </w:p>
        </w:tc>
        <w:tc>
          <w:tcPr>
            <w:tcW w:type="pct" w:w="3800"/>
          </w:tcPr>
          <w:p>
            <w:pPr>
              <w:autoSpaceDN w:val="0"/>
              <w:autoSpaceDE w:val="0"/>
            </w:pPr>
            <w:r>
              <w:rPr>
                <w:rFonts w:ascii="맑은 고딕" w:hAnsi="맑은 고딕" w:eastAsia="맑은 고딕" w:cs="맑은 고딕"/>
                <w:color w:val="000000"/>
                <w:sz w:val="19"/>
              </w:rPr>
              <w:t>상고기각 (원심 확정)</w:t>
            </w:r>
          </w:p>
        </w:tc>
      </w:tr>
    </w:tbl>
    <w:p>
      <w:pPr>
        <w:autoSpaceDN w:val="0"/>
        <w:autoSpaceDE w:val="0"/>
      </w:pPr>
    </w:p>
    <w:p>
      <w:pPr>
        <w:autoSpaceDN w:val="0"/>
        <w:autoSpaceDE w:val="0"/>
        <w:pStyle w:val="2"/>
        <w:spacing w:before="80"/>
      </w:pPr>
      <w:r>
        <w:rPr>
          <w:rFonts w:ascii="맑은 고딕" w:hAnsi="맑은 고딕" w:eastAsia="맑은 고딕" w:cs="맑은 고딕"/>
          <w:color w:val="000000"/>
        </w:rPr>
        <w:t>2. 사실관계</w:t>
      </w:r>
    </w:p>
    <w:p>
      <w:pPr>
        <w:autoSpaceDN w:val="0"/>
        <w:autoSpaceDE w:val="0"/>
      </w:pPr>
      <w:r>
        <w:rPr>
          <w:rFonts w:ascii="맑은 고딕" w:hAnsi="맑은 고딕" w:eastAsia="맑은 고딕" w:cs="맑은 고딕"/>
          <w:color w:val="000000"/>
        </w:rPr>
        <w:t>① 구 수질 및 수생태계 보전에 관한 법률은 종말처리시설 부담금의 징수대상이 되는 공장 또는 사업장 등을 양수한 자는 당사자 간에 특별한 약정이 없는 한 양수 전에 양도자에게 발생한 부담금에 관한 권리·의무를 승계한다고 규정하고 있었다.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원고는 부동산임의경매절차에서 두부류를 제조·가공하는 공장을 경락받아 소유권을 이전받았다.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관할 시장인 피고는 원고에게 종전 사업자가 체납한 폐수종말처리시설 부담금을 부과하는 처분을 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원고는 경매로 취득한 자는 위 조항이 정한 ‘양수한 자’에 해당하지 않는다고 주장하며 납부의무 부존재 확인을 구하였다.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원심은 경매 절차에서 인수한 자는 전 소유자와 부담금 승계에 관한 약정을 기대하기 어렵다는 등의 사정을 종합하여, 위 조항의 ‘양수한 자’는 양도인과의 법률행위에 의하여 소유권을 이전받은 사람을 말한다고 판단하였다.</w:t>
      </w:r>
    </w:p>
    <w:p>
      <w:pPr>
        <w:autoSpaceDN w:val="0"/>
        <w:autoSpaceDE w:val="0"/>
      </w:pPr>
    </w:p>
    <w:p>
      <w:pPr>
        <w:autoSpaceDN w:val="0"/>
        <w:autoSpaceDE w:val="0"/>
        <w:pStyle w:val="2"/>
        <w:spacing w:before="80"/>
      </w:pPr>
      <w:r>
        <w:rPr>
          <w:rFonts w:ascii="맑은 고딕" w:hAnsi="맑은 고딕" w:eastAsia="맑은 고딕" w:cs="맑은 고딕"/>
          <w:color w:val="000000"/>
        </w:rPr>
        <w:t>3. 쟁점</w:t>
      </w:r>
    </w:p>
    <w:p>
      <w:pPr>
        <w:autoSpaceDN w:val="0"/>
        <w:autoSpaceDE w:val="0"/>
      </w:pPr>
      <w:r>
        <w:rPr>
          <w:rFonts w:ascii="맑은 고딕" w:hAnsi="맑은 고딕" w:eastAsia="맑은 고딕" w:cs="맑은 고딕"/>
          <w:color w:val="000000"/>
          <w:u w:val="single"/>
        </w:rPr>
        <w:t>이 사건의 쟁점은, 수질 및 수생태계 보전에 관한 법률이 정한 종말처리시설 부담금 승계 대상인 ‘공장 또는 사업장 등을 양수한 자’에 경매를 통하여 소유권을 이전받은 사람이 포함되는지 여부이다.</w:t>
      </w:r>
    </w:p>
    <w:p>
      <w:pPr>
        <w:autoSpaceDN w:val="0"/>
        <w:autoSpaceDE w:val="0"/>
      </w:pPr>
    </w:p>
    <w:p>
      <w:pPr>
        <w:autoSpaceDN w:val="0"/>
        <w:autoSpaceDE w:val="0"/>
        <w:pStyle w:val="2"/>
        <w:spacing w:before="80"/>
      </w:pPr>
      <w:r>
        <w:rPr>
          <w:rFonts w:ascii="맑은 고딕" w:hAnsi="맑은 고딕" w:eastAsia="맑은 고딕" w:cs="맑은 고딕"/>
          <w:color w:val="000000"/>
        </w:rPr>
        <w:t>4. 판단</w:t>
      </w:r>
    </w:p>
    <w:p>
      <w:pPr>
        <w:autoSpaceDN w:val="0"/>
        <w:autoSpaceDE w:val="0"/>
      </w:pPr>
      <w:r>
        <w:rPr>
          <w:rFonts w:ascii="맑은 고딕" w:hAnsi="맑은 고딕" w:eastAsia="맑은 고딕" w:cs="맑은 고딕"/>
          <w:color w:val="000000"/>
        </w:rPr>
        <w:t>① 원심의 판단 원심은 경매 절차에서 공장 등을 인수한 자는 전 소유자와 사이에 부담금에 관한 권리·의무의 승계 약정을 할 것을 기대하기 어렵다는 등의 사정을 종합하여, 위 조항의 ‘양수한 자’는 양도인과의 법률행위에 의하여 소유권을 이전받은 사람을 말한다고 보아 원고에게 납부의무가 없다고 판단하였다.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② 대법원의 판단 원심의 판단은 정당하고, 거기에 ‘양수’의 의미에 관한 법리를 오해한 위법이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③ 관계 법령의 규정과 그 입법 취지, 그리고 법이 배출시설 등을 양도·양수한 경우와 경매 절차에 따라 배출시설 등을 인수한 경우를 구분하여 규정하고 있는 점을 고려하여야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동일한 법령에서 사용한 용어는 특별한 사정이 없는 한 동일하게 해석·적용하여야 하는 점 등을 원심이 설시한 사정들에 보태어 보면, 위 조항이 정한 ‘공장 또는 사업장 등을 양수한 자’에 경매를 통하여 소유권을 이전받은 사람은 포함되지 않는다.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⑤ 또한 이 사건 각 부과처분은 피고가 공권력의 주체로서 행하는 구체적 사실에 관한 법집행 행위로서 항고소송의 대상이 되는 행정처분에 해당한다.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⑥ 부담금관리기본법에 의하면 부담금은 그 부과 근거 법령에서 부과 및 징수주체, 설치목적, 부과요건, 산정기준, 산정방법, 부과요율 등이 구체적이고 명확하게 규정되어야 하고, 부과권자는 납부의무자에게 법적 근거와 납부금액, 산출근거 등을 미리 알려 부과하여야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⑦ 이러한 규정들에 비추어 보면, 종말처리시설 부담금은 근거 법령에서 정한 요건과 절차에 따라 부과되어야 하는 것이지 당사자의 합의에 의해 부과 여부 등이 결정될 수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⑧ 따라서 원고가 부담금을 납부하기로 하는 합의가 성립되었다고 보기 어렵다고 본 원심의 판단도 정당하다.</w:t>
      </w:r>
    </w:p>
    <w:p>
      <w:pPr>
        <w:autoSpaceDN w:val="0"/>
        <w:autoSpaceDE w:val="0"/>
      </w:pPr>
    </w:p>
    <w:p>
      <w:pPr>
        <w:autoSpaceDN w:val="0"/>
        <w:autoSpaceDE w:val="0"/>
        <w:pStyle w:val="2"/>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적용 문구</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제48조 제1항</w:t>
            </w:r>
          </w:p>
        </w:tc>
        <w:tc>
          <w:tcPr>
            <w:tcW w:type="pct" w:w="3500"/>
          </w:tcPr>
          <w:p>
            <w:pPr>
              <w:autoSpaceDN w:val="0"/>
              <w:autoSpaceDE w:val="0"/>
            </w:pPr>
            <w:r>
              <w:rPr>
                <w:rFonts w:ascii="맑은 고딕" w:hAnsi="맑은 고딕" w:eastAsia="맑은 고딕" w:cs="맑은 고딕"/>
                <w:color w:val="000000"/>
                <w:sz w:val="19"/>
              </w:rPr>
              <w:t>국가·지방자치단체 등은 수질오염이 악화되어 환경기준을 유지하기 곤란하거나 물환경 보전에 필요하다고 인정할 때에는 공공폐수처리시설을 설치·운영할 수 있다.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제48조의2</w:t>
            </w:r>
          </w:p>
        </w:tc>
        <w:tc>
          <w:tcPr>
            <w:tcW w:type="pct" w:w="3500"/>
          </w:tcPr>
          <w:p>
            <w:pPr>
              <w:autoSpaceDN w:val="0"/>
              <w:autoSpaceDE w:val="0"/>
            </w:pPr>
            <w:r>
              <w:rPr>
                <w:rFonts w:ascii="맑은 고딕" w:hAnsi="맑은 고딕" w:eastAsia="맑은 고딕" w:cs="맑은 고딕"/>
                <w:color w:val="000000"/>
                <w:sz w:val="19"/>
              </w:rPr>
              <w:t>공공폐수처리시설을 설치·운영하는 자는 그 시설의 설치·운영에 드는 비용의 전부 또는 일부를 원인자에게 부담하게 할 수 있다.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제36조 제1항·제2항</w:t>
            </w:r>
          </w:p>
        </w:tc>
        <w:tc>
          <w:tcPr>
            <w:tcW w:type="pct" w:w="3500"/>
          </w:tcPr>
          <w:p>
            <w:pPr>
              <w:autoSpaceDN w:val="0"/>
              <w:autoSpaceDE w:val="0"/>
            </w:pPr>
            <w:r>
              <w:rPr>
                <w:rFonts w:ascii="맑은 고딕" w:hAnsi="맑은 고딕" w:eastAsia="맑은 고딕" w:cs="맑은 고딕"/>
                <w:color w:val="000000"/>
                <w:sz w:val="19"/>
              </w:rPr>
              <w:t>① 사업자가 배출시설 등을 양도하거나 사망한 경우 또는 법인이 합병한 경우에는 그 양수인·상속인 또는 존속·신설 법인이 종전 사업자의 권리·의무를 승계한다.</w:t>
            </w:r>
            <w:r>
              <w:rPr>
                <w:rFonts w:ascii="맑은 고딕" w:hAnsi="맑은 고딕" w:eastAsia="맑은 고딕" w:cs="맑은 고딕"/>
                <w:color w:val="000000"/>
                <w:sz w:val="19"/>
              </w:rPr>
              <w:br/>
            </w:r>
            <w:r>
              <w:rPr>
                <w:rFonts w:ascii="맑은 고딕" w:hAnsi="맑은 고딕" w:eastAsia="맑은 고딕" w:cs="맑은 고딕"/>
                <w:color w:val="000000"/>
                <w:sz w:val="19"/>
              </w:rPr>
              <w:t>② 경매, 환가, 압류재산의 매각 등의 절차에 따라 배출시설 등을 인수한 자는 종전 사업자의 권리·의무를 승계한다.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부담금관리기본법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제4조</w:t>
            </w:r>
          </w:p>
        </w:tc>
        <w:tc>
          <w:tcPr>
            <w:tcW w:type="pct" w:w="3500"/>
          </w:tcPr>
          <w:p>
            <w:pPr>
              <w:autoSpaceDN w:val="0"/>
              <w:autoSpaceDE w:val="0"/>
            </w:pPr>
            <w:r>
              <w:rPr>
                <w:rFonts w:ascii="맑은 고딕" w:hAnsi="맑은 고딕" w:eastAsia="맑은 고딕" w:cs="맑은 고딕"/>
                <w:color w:val="000000"/>
                <w:sz w:val="19"/>
              </w:rPr>
              <w:t>부담금은 그 부과 근거 법령에 부과 및 징수주체, 설치목적, 부과요건, 산정기준, 산정방법, 부과요율 등이 구체적이고 명확하게 규정되어야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부담금관리기본법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제5조 제2항</w:t>
            </w:r>
          </w:p>
        </w:tc>
        <w:tc>
          <w:tcPr>
            <w:tcW w:type="pct" w:w="3500"/>
          </w:tcPr>
          <w:p>
            <w:pPr>
              <w:autoSpaceDN w:val="0"/>
              <w:autoSpaceDE w:val="0"/>
            </w:pPr>
            <w:r>
              <w:rPr>
                <w:rFonts w:ascii="맑은 고딕" w:hAnsi="맑은 고딕" w:eastAsia="맑은 고딕" w:cs="맑은 고딕"/>
                <w:color w:val="000000"/>
                <w:sz w:val="19"/>
              </w:rPr>
              <w:t>부담금의 부과권자는 납부의무자에게 부담금 부과의 법적 근거, 납부금액, 산출근거 및 미납 시의 조치사항 등을 미리 알려 부담금을 부과하여야 한다.</w:t>
            </w:r>
          </w:p>
        </w:tc>
      </w:tr>
    </w:tbl>
    <w:p>
      <w:pPr>
        <w:autoSpaceDN w:val="0"/>
        <w:autoSpaceDE w:val="0"/>
        <w:pStyle w:val="note"/>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autoSpaceDN w:val="0"/>
        <w:autoSpaceDE w:val="0"/>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N w:val="0"/>
        <w:autoSpaceDE w:val="0"/>
        <w:spacing w:before="120"/>
      </w:pPr>
      <w:r>
        <w:rPr>
          <w:rFonts w:ascii="맑은 고딕" w:hAnsi="맑은 고딕" w:eastAsia="맑은 고딕" w:cs="맑은 고딕"/>
          <w:color w:val="000000"/>
          <w:sz w:val="18"/>
        </w:rPr>
        <w:t>원문  https://www.law.go.kr/판례/(2011두12672)</w:t>
      </w:r>
    </w:p>
    <w:p>
      <w:pPr>
        <w:autoSpaceDN w:val="0"/>
        <w:autoSpaceDE w:val="0"/>
        <w:spacing w:before="80"/>
      </w:pPr>
      <w:r>
        <w:rPr>
          <w:rFonts w:ascii="맑은 고딕" w:hAnsi="맑은 고딕" w:eastAsia="맑은 고딕" w:cs="맑은 고딕"/>
          <w:color w:val="000000"/>
          <w:sz w:val="18"/>
        </w:rPr>
        <w:t>태그  #물환경보전법 #공공폐수처리시설 #원인자부담금 #경매 #권리의무승계 #부담금관리기본법 #행정판례 #대법원판례 #2013년판례 #2011두12672 #환경법 #환경인허가 #인허가서대리 #서대리</w:t>
      </w:r>
    </w:p>
    <w:p>
      <w:pPr>
        <w:autoSpaceDN w:val="0"/>
        <w:autoSpaceDE w:val="0"/>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