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부과계수의 위반횟수는 오염물질 종류를 가리지 않고 셉니다. (2014두13232)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2014두13232 (2017.11.29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초과배출부과금의 ‘배출허용기준 위반횟수별 부과계수’를 산정할 때 수질오염물질의 종류별로 횟수를 나누어 세야 하는지가 문제된 사건입니다. 대법원은 오염물질의 종류를 불문하고 개선명령 등을 받은 위반행위의 횟수를 의미한다고 보았고, 공동방지시설 규약이 정한 부담비율에 따른 부과도 적법하다고 판단했습니다.</w:t>
      </w: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위반횟수는 오염물질별로 따로 세나요?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위반행위로 개선명령·조업정지명령·허가취소·사용중지명령 또는 폐쇄명령을 받은 경우, 수질오염물질의 종류를 불문하고 그 위반행위의 횟수를 의미합니다.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한 번에 여러 항목을 초과했으면 몇 회인가요?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둘 이상의 위반행위로 하나의 개선명령 등을 받은 경우에는 하나의 위반행위로 보되, 위반일은 가장 최근에 위반한 날을 기준으로 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공동방지시설을 쓰면 부과금은 어떻게 나뉘나요?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사업장별 폐수배출량과 농도를 측정할 수 없는 경우, 사업자들이 제출한 ‘공동방지시설의 운영에 관한 규약’의 부담비율에 따른 부과는 그 분담기준이 현저히 불합리하지 않은 한 위법하지 않습니다.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2014두13232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2017.11.29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○○○ 주식회사 외 3인 · 피고 부산광역시 사하구청장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같은 취지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 2014두13225 (2017.11.23 선고), 2014두42841 (2017.11.29 선고) — 같은 취지의 판결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(수질초과배출부과금부과처분취소)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부산고법 2014누250 (2014. 9. 19.)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원심 중 피고 패소 부분 파기환송 · 나머지 상고기각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원고들은 공동방지시설을 설치·운영하는 사업자들이고, 그 운영기구는 중소기업협동조합법상 협동조합이다.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원고들은 2009. 7. 14. 화학적 산소요구량 및 총 질소의 기준치 초과배출, 2009. 9. 14. 총 질소의 기준치 초과배출, 2010. 3. 24. 총 질소 및 총 인의 기준치 초과배출로 각 개선명령 등을 받았다.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이 사건 조합은 2012. 8. 31. 임시총회를 열어 회원이 부담하는 분담금의 종류로 배출부과금 등을 추가하고, 사업장별 폐수배출량 및 수질오염물질 농도를 측정할 수 없을 때의 분담기준을 정하는 규정을 조합원 43개 업체 중 40개 업체가 참석한 가운데 30개 업체의 찬성으로 신설하였다.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피고는 2012. 10. 4. 원고들에게 각 초과배출부과금 부과처분을 하면서, 수질오염물질별로 위반횟수를 구분하지 아니하고 위 세 차례의 위반을 모두 위반횟수에 포함시켜 부과계수를 산정하였다.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또한 피고는 위 규약에서 정한 사업장별 배출부과금 부담비율에 근거하여 각 사업자에게 부과금을 분담시켰다.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초과배출부과금 산정 요소인 ‘배출허용기준 위반횟수별 부과계수’의 ‘위반횟수’가 수질오염물질의 종류를 불문한 위반행위의 횟수를 의미하는지 여부와, 공동방지시설의 운영규약이 정한 사업장별 부담비율에 근거한 부과처분이 위법한지 여부이다.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원심의 판단 원심은 피고가 수질오염물질별로 위반횟수를 구분하지 아니하고 세 차례의 초과배출을 모두 위반횟수에 포함시켜 부과계수를 산정한 것이 적법하다고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원심의 판단은 정당하나, 공동방지시설 규약에 근거한 부과 부분에 관한 판단은 아래와 같은 이유로 수긍하기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③ 관련 법령에 의하면 ‘위반횟수’는 사업장별로 배출허용기준을 초과하여 부과 대상 수질오염물질을 배출함으로써 개선명령 등을 받은 경우 그 위반행위의 횟수로 하되, 부과의 원인이 되는 위반행위를 한 날을 기준으로 최근 2년간의 위반행위 횟수로 한다. 둘 이상의 위반행위로 하나의 개선명령 등을 받은 경우에는 하나의 위반행위로 보되 위반일은 가장 최근에 위반한 날을 기준으로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④ 이러한 관련 법령 규정의 체계 및 내용과, 오염물질 등의 배출전력이 있는 경우 부과금의 부과율을 누진적용하려는 위반횟수별 부과계수 제도의 취지를 종합하면, 위 ‘위반횟수’는 위반행위로 개선명령 등을 받은 경우 수질오염물질의 종류를 불문하고 그 위반행위의 횟수를 의미한다고 해석함이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한편 사업자는 배출시설로부터 배출되는 수질오염물질의 공동처리를 위한 공동방지시설을 설치할 수 있고, 이 경우 각 사업자가 사업장별로 방지시설을 설치한 것으로 보며, 그 설치·운영에 필요한 사항은 환경부령으로 정하도록 위임되어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그 위임에 따른 시행규칙은 사업장별 폐수배출량 및 수질오염물질 농도를 측정할 수 없을 때의 배출부과금 등 분담명세를 포함한 ‘공동방지시설의 운영에 관한 규약’을 제출하도록 하고, 배출부과금의 납부는 사업자별로 부담비율을 미리 정하여 분담하도록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위와 같은 규정의 취지는 사업자들이 자율적으로 정한 부담비율을 행정청이 존중하여 공동방지시설에서 배출된 총 수질오염물질에 대한 부과금을 각 사업자별로 분담시킬 수 있도록 함으로써 배출부과금 산정에서의 편의와 적정성을 도모하려는 것이다.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⑧ 따라서 사업장별 폐수배출량 및 농도를 측정할 수 없는 경우, 행정청이 규약에서 정해진 부담비율에 근거하여 부과금을 부과하였다면 그 분담기준이 현저히 불합리하다는 등 특별한 사정이 없는 이상 그 부과처분이 위법하다고 볼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⑨ 또한 공동방지시설의 운영기구가 중소기업협동조합법상 협동조합인 경우에도, 그 규약 중 부담비율 조항은 부과 행정청과 사업자들 사이에서 부과처분의 기준이 될 뿐 그 자체로 조합원의 권리·의무를 발생·확정시키는 것이 아니므로, 중소기업중앙회 회장의 승인 대상인 ‘조합원에게 의무를 부과하는 사항’에 해당한다고 볼 수 없다.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① 구 수질 및 수생태계 보전에 관한 법률 시행령 [별표 16] 제1호 (가)목 및 (나)목의 체계 및 내용과 오염물질 등의 배출전력이 있는 경우에는 부과금의 부과율을 누진적용하려는 위반횟수별 부과계수 제도의 취지를 종합하면, 배출허용기준 위반횟수별 부과계수의 ‘위반횟수’는 위반행위로 개선명령·조업정지명령·허가취소·사용중지명령 또는 폐쇄명령을 받은 경우 수질오염물질의 종류를 불문하고, 위반행위의 횟수를 의미한다.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사업자들이 폐수배출시설로부터 배출되는 수질오염물질의 공동처리를 위하여 공동방지시설을 설치하였고, 사업장별 폐수배출량 및 수질오염물질 농도를 측정할 수 없는 경우, 행정청이 사업자들이 제출한 ‘공동방지시설의 운영에 관한 규약’에서 정해진 ‘사업장별 배출부과금 부담비율’에 근거하여 각 사업자들에게 배출부과금을 부과하였다면, 그 규약에서 정한 분담기준이 현저히 불합리하다는 등 특별한 사정이 없는 이상 이러한 배출부과금 부과처분이 위법하다고 볼 수는 없다.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제41조 제1항 제2호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배출허용기준을 초과하여 수질오염물질을 배출하는 사업자에게는 초과배출부과금을 부과·징수하며, 그 산정방법과 산정기준 등에 관하여 필요한 사항은 대통령령으로 정한다.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제35조 제1항·제4항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① 배출시설을 설치하거나 변경할 때에는 수질오염방지시설을 설치하여야 한다.</w:t>
            </w: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④ 사업자는 배출시설로부터 배출되는 수질오염물질의 공동처리를 위한 공동방지시설을 설치할 수 있고, 이 경우 각 사업자가 사업장별로 방지시설을 설치한 것으로 본다.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제35조 제5항·제6항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⑤ 공동방지시설을 설치·운영할 때에는 해당 시설의 운영기구를 설치하고 그 대표자를 두어야 한다.</w:t>
            </w: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⑥ 공동방지시설의 설치·운영에 필요한 사항은 기후에너지환경부령으로 정한다.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16]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초과배출부과금의 산정 요소로 배출허용기준 위반횟수별 부과계수를 정하고 있으며, 최근 2년간의 위반행위 횟수를 기준으로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제45조 제1항 제6호·제2항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공동방지시설을 설치하려는 경우 사업장별 배출부과금 등의 분담명세를 포함한 운영규약을 제출하도록 하고, 배출부과금의 납부는 사업자별로 부담비율을 미리 정하여 분담하도록 규정한다.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https://www.law.go.kr/판례/(2014두13232)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#초과배출부과금 #위반횟수 #부과계수 #공동방지시설 #운영규약 #행정판례 #대법원판례 #2017년판례 #2014두13232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