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>
      <w:pPr>
        <w:autoSpaceDN w:val="0"/>
        <w:autoSpaceDE w:val="0"/>
        <w:spacing w:after="60"/>
      </w:pPr>
      <w:r>
        <w:rPr>
          <w:rFonts w:ascii="맑은 고딕" w:hAnsi="맑은 고딕" w:eastAsia="맑은 고딕" w:cs="맑은 고딕"/>
          <w:b/>
          <w:color w:val="000000"/>
          <w:sz w:val="30"/>
        </w:rPr>
        <w:t>계획관리지역의 특정수질유해물질 배출공장 금지는 합헌입니다. (2019도3795)</w:t>
      </w:r>
    </w:p>
    <w:p>
      <w:pPr>
        <w:autoSpaceDN w:val="0"/>
        <w:autoSpaceDE w:val="0"/>
        <w:pStyle w:val="law1"/>
        <w:spacing w:after="160"/>
      </w:pPr>
      <w:r>
        <w:rPr>
          <w:rFonts w:ascii="맑은 고딕" w:hAnsi="맑은 고딕" w:eastAsia="맑은 고딕" w:cs="맑은 고딕"/>
          <w:color w:val="000000"/>
        </w:rPr>
        <w:t>대법원 2019도3795 (2020.04.29 선고)</w:t>
      </w:r>
    </w:p>
    <w:p>
      <w:pPr>
        <w:autoSpaceDN w:val="0"/>
        <w:autoSpaceDE w:val="0"/>
        <w:spacing w:after="120"/>
      </w:pPr>
      <w:r>
        <w:rPr>
          <w:rFonts w:ascii="맑은 고딕" w:hAnsi="맑은 고딕" w:eastAsia="맑은 고딕" w:cs="맑은 고딕"/>
          <w:color w:val="000000"/>
        </w:rPr>
        <w:t>○ 계획관리지역에서 특정수질유해물질을 기준 이상 배출하는 공장의 건축을 금지한 국토계획법 시행령 조항이 위헌·위법인지가 문제된 사건입니다. 대법원은 모법의 위임 범위를 벗어나지 않았고 과잉금지원칙이나 평등원칙에도 위배되지 않는다고 보아 원심을 파기하였습니다.</w:t>
      </w:r>
    </w:p>
    <w:p>
      <w:pPr>
        <w:autoSpaceDN w:val="0"/>
        <w:autoSpaceDE w:val="0"/>
      </w:pPr>
    </w:p>
    <w:tbl>
      <w:tblPr>
        <w:tblW w:type="pct" w:w="5000"/>
        <w:tblLook w:firstColumn="1" w:firstRow="1" w:lastColumn="0" w:lastRow="0" w:noHBand="0" w:noVBand="1" w:val="04A0"/>
        <w:tblBorders>
          <w:top w:val="single" w:sz="14" w:space="0" w:color="808080"/>
          <w:left w:val="single" w:sz="14" w:space="0" w:color="808080"/>
          <w:bottom w:val="single" w:sz="14" w:space="0" w:color="808080"/>
          <w:right w:val="single" w:sz="14" w:space="0" w:color="808080"/>
          <w:insideH w:val="single" w:sz="4" w:space="0" w:color="B7B7B7"/>
          <w:insideV w:val="single" w:sz="4" w:space="0" w:color="B7B7B7"/>
        </w:tblBorders>
      </w:tblPr>
      <w:tblGrid>
        <w:gridCol w:w="9026"/>
      </w:tblGrid>
      <w:tr>
        <w:tc>
          <w:tcPr>
            <w:tcW w:type="pct" w:w="5000"/>
            <w:shd w:val="clear" w:color="auto" w:fill="D9D9D9"/>
            <w:tcBorders>
              <w:bottom w:val="double" w:sz="6" w:space="0" w:color="808080"/>
            </w:tcBorders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21"/>
              </w:rPr>
              <w:t>※ 간단요약</w:t>
            </w:r>
          </w:p>
        </w:tc>
      </w:tr>
      <w:tr>
        <w:tc>
          <w:tcPr>
            <w:tcW w:type="pct" w:w="5000"/>
            <w:shd w:val="clear" w:color="auto" w:fill="F7F7F7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Q. 계획관리지역에서는 특정수질유해물질 배출공장을 지을 수 없나요?</w:t>
            </w:r>
          </w:p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A. 특정수질유해물질이 시행령 기준 이상으로 배출되는 공장시설의 건축은 원칙적으로 금지되며, 폐수무방류배출시설 설치허가를 받아 운영하는 경우만 예외입니다.</w:t>
            </w:r>
          </w:p>
          <w:p>
            <w:pPr>
              <w:autoSpaceDN w:val="0"/>
              <w:autoSpaceDE w:val="0"/>
            </w:pPr>
          </w:p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Q. 폐수무방류배출시설 허가는 어디서나 받을 수 있나요?</w:t>
            </w:r>
          </w:p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A. 아닙니다. 폐수배출시설 설치제한지역으로 지정·고시된 지역에서만 가능하므로, 제한지역이 아닌 계획관리지역에서는 그 예외를 활용할 수 없습니다.</w:t>
            </w:r>
          </w:p>
          <w:p>
            <w:pPr>
              <w:autoSpaceDN w:val="0"/>
              <w:autoSpaceDE w:val="0"/>
            </w:pPr>
          </w:p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Q. 그렇게 지역에 따라 달라지면 위헌 아닌가요?</w:t>
            </w:r>
          </w:p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A. 대법원은 모법의 위임 범위를 일탈한 것이 아니고 과잉금지원칙이나 평등원칙에 위배된 자의적 입법도 아니라고 판단했습니다.</w:t>
            </w:r>
          </w:p>
        </w:tc>
      </w:tr>
    </w:tbl>
    <w:p>
      <w:pPr>
        <w:autoSpaceDN w:val="0"/>
        <w:autoSpaceDE w:val="0"/>
      </w:pPr>
    </w:p>
    <w:p>
      <w:pPr>
        <w:autoSpaceDN w:val="0"/>
        <w:autoSpaceDE w:val="0"/>
        <w:pStyle w:val="2"/>
      </w:pPr>
      <w:r>
        <w:rPr>
          <w:rFonts w:ascii="맑은 고딕" w:hAnsi="맑은 고딕" w:eastAsia="맑은 고딕" w:cs="맑은 고딕"/>
          <w:color w:val="000000"/>
        </w:rPr>
        <w:t>1. 사건 개요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14" w:space="0" w:color="808080"/>
          <w:left w:val="single" w:sz="14" w:space="0" w:color="808080"/>
          <w:bottom w:val="single" w:sz="14" w:space="0" w:color="808080"/>
          <w:right w:val="single" w:sz="14" w:space="0" w:color="808080"/>
          <w:insideH w:val="single" w:sz="4" w:space="0" w:color="B7B7B7"/>
          <w:insideV w:val="single" w:sz="4" w:space="0" w:color="B7B7B7"/>
        </w:tblBorders>
      </w:tblPr>
      <w:tblGrid>
        <w:gridCol w:w="4513"/>
        <w:gridCol w:w="4513"/>
      </w:tblGrid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사건번호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2019도3795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선고일자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2020.04.29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법원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대법원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당사자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피고인 공장 운영자 · 상고인 검사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사건종류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형사 (물환경보전법위반)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원심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수원지법 2018노6555 (2019. 2. 13.)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결과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원심 파기환송</w:t>
            </w:r>
          </w:p>
        </w:tc>
      </w:tr>
    </w:tbl>
    <w:p>
      <w:pPr>
        <w:autoSpaceDN w:val="0"/>
        <w:autoSpaceDE w:val="0"/>
      </w:pPr>
    </w:p>
    <w:p>
      <w:pPr>
        <w:autoSpaceDN w:val="0"/>
        <w:autoSpaceDE w:val="0"/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2. 사실관계</w:t>
      </w:r>
    </w:p>
    <w:p>
      <w:pPr>
        <w:autoSpaceDN w:val="0"/>
        <w:autoSpaceDE w:val="0"/>
      </w:pPr>
      <w:r>
        <w:rPr>
          <w:rFonts w:ascii="맑은 고딕" w:hAnsi="맑은 고딕" w:eastAsia="맑은 고딕" w:cs="맑은 고딕"/>
          <w:color w:val="000000"/>
        </w:rPr>
        <w:t>① 구 수질수생태계법 제33조 제1항은 폐수배출시설을 설치하려는 자는 환경부장관의 허가를 받거나 신고하도록 하고, 그 시행령은 특정수질유해물질이 환경부령으로 정하는 기준 이상으로 배출되는 배출시설을 허가 대상으로 규정하고 있었다.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② 같은 법은 상수원보호구역 상류지역 등에 폐수배출시설 설치제한지역을 지정·고시하여 설치를 제한할 수 있게 하면서도, 그 제한에도 불구하고 일정한 특정수질유해물질 배출시설은 폐수무방류배출시설 방식으로 설치할 수 있도록 정하고 있었다.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③ 국토계획법 시행령 [별표 20]은 계획관리지역 안에서 건축할 수 없는 건축물의 하나로, 특정수질유해물질이 기준 이상으로 배출되는 공장시설을 규정하면서 폐수무방류배출시설 설치허가를 받아 운영하는 경우를 예외로 두고 있었다.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④ 그런데 폐수무방류배출시설 설치허가는 폐수배출시설 설치제한지역에서만 가능하므로, 제한지역으로 지정·고시되지 않은 계획관리지역에서는 그 예외를 활용할 수 없어 건축이 불가능하게 되는 결과가 되었다.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⑤ 원심은 이러한 사정에 주목하여 위 시행령 조항이 모법의 위임 범위를 일탈하였거나 과잉금지원칙 등에 위배하여 직업(영업)의 자유를 침해한 위헌인 규정이라고 판단하였다.</w:t>
      </w:r>
    </w:p>
    <w:p>
      <w:pPr>
        <w:autoSpaceDN w:val="0"/>
        <w:autoSpaceDE w:val="0"/>
      </w:pPr>
    </w:p>
    <w:p>
      <w:pPr>
        <w:autoSpaceDN w:val="0"/>
        <w:autoSpaceDE w:val="0"/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3. 쟁점</w:t>
      </w:r>
    </w:p>
    <w:p>
      <w:pPr>
        <w:autoSpaceDN w:val="0"/>
        <w:autoSpaceDE w:val="0"/>
      </w:pPr>
      <w:r>
        <w:rPr>
          <w:rFonts w:ascii="맑은 고딕" w:hAnsi="맑은 고딕" w:eastAsia="맑은 고딕" w:cs="맑은 고딕"/>
          <w:color w:val="000000"/>
          <w:u w:val="single"/>
        </w:rPr>
        <w:t>이 사건의 쟁점은, 계획관리지역 안에서 건축할 수 없는 건축물로 특정수질유해물질이 기준 이상 배출되는 공장시설을 열거한 국토계획법 시행령 조항이 모법의 위임 범위를 일탈하였는지 여부와, 과잉금지원칙 및 평등원칙에 위배되는지 여부이다.</w:t>
      </w:r>
    </w:p>
    <w:p>
      <w:pPr>
        <w:autoSpaceDN w:val="0"/>
        <w:autoSpaceDE w:val="0"/>
      </w:pPr>
    </w:p>
    <w:p>
      <w:pPr>
        <w:autoSpaceDN w:val="0"/>
        <w:autoSpaceDE w:val="0"/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4. 판단</w:t>
      </w:r>
    </w:p>
    <w:p>
      <w:pPr>
        <w:autoSpaceDN w:val="0"/>
        <w:autoSpaceDE w:val="0"/>
      </w:pPr>
      <w:r>
        <w:rPr>
          <w:rFonts w:ascii="맑은 고딕" w:hAnsi="맑은 고딕" w:eastAsia="맑은 고딕" w:cs="맑은 고딕"/>
          <w:color w:val="000000"/>
        </w:rPr>
        <w:t>① 원심의 판단 원심은 계획관리지역 중 폐수배출시설 설치제한지역으로 지정·고시되지 않은 지역에서는 폐수무방류배출시설 설치허가를 받을 가능성이 차단되어 건축이 불가능해진다는 사정에 주목하여, 이 사건 시행령 조항이 모법의 위임 범위를 일탈하였거나 위헌이라고 판단하였다.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② 대법원의 판단 그러나 원심의 판단은 그대로 받아들이기 어렵다.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③ 국토계획법은 제76조 제1항에서 용도지역에서의 건축물의 용도·종류 및 규모 등의 제한에 관한 사항을 대통령령으로 정하도록 위임하면서도, 제36조 제1항을 통하여 대통령령의 제정자가 준거하여야 할 각 용도지역의 기능과 특성, 그 의미를 규정하고 있다.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④ 계획관리지역에 대해서는 ‘도시지역으로의 편입이 예상되거나 자연환경을 고려하여 제한적인 이용·개발을 하려는 지역으로서 계획적·체계적인 개발·관리가 필요한 지역’이라고 규정하고 있어, 법 자체에서 이미 광범위한 건축 제한이 이루어질 가능성을 예정하고 있다.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⑤ 토지의 사회성·공공성을 고려하면 토지재산권에 대하여는 다른 재산권에 비하여 강한 제한과 의무가 부과될 수 있고, 토지의 이용·개발과 보전에 관한 사항에 관해서는 입법자에게 광범위한 입법형성권이 부여되어 있다.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⑥ 그러므로 이 사건 시행령 조항에서 계획관리지역 안에서 건축할 수 없는 건축물의 하나로 특정수질유해물질이 기준 이상으로 배출되는 공장시설 등을 구체적으로 열거한 것은, 모법이 예정하고 있는 바를 구체화·명확화한 것이라고 볼 수 있을 뿐 모법의 위임 범위를 뛰어넘은 것이라고 평가하기는 어렵다.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⑦ 나아가 이 사건 시행령 조항이 과잉금지원칙 등에 위배하여 국민의 직업(영업)의 자유를 침해한 위헌인 규정이라고 볼 수 없고, 평등원칙에 위배된 자의적인 입법이라고 볼 수도 없다.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  <w:u w:val="single"/>
        </w:rPr>
        <w:t>⑧ 그럼에도 원심이 이 사건 시행령 조항을 위헌·위법이라고 판단한 데에는 법리를 오해하여 판결에 영향을 미친 잘못이 있다.</w:t>
      </w:r>
    </w:p>
    <w:p>
      <w:pPr>
        <w:autoSpaceDN w:val="0"/>
        <w:autoSpaceDE w:val="0"/>
      </w:pPr>
    </w:p>
    <w:p>
      <w:pPr>
        <w:autoSpaceDN w:val="0"/>
        <w:autoSpaceDE w:val="0"/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5. 적용 법령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14" w:space="0" w:color="808080"/>
          <w:left w:val="single" w:sz="14" w:space="0" w:color="808080"/>
          <w:bottom w:val="single" w:sz="14" w:space="0" w:color="808080"/>
          <w:right w:val="single" w:sz="14" w:space="0" w:color="808080"/>
          <w:insideH w:val="single" w:sz="4" w:space="0" w:color="B7B7B7"/>
          <w:insideV w:val="single" w:sz="4" w:space="0" w:color="B7B7B7"/>
        </w:tblBorders>
      </w:tblPr>
      <w:tblGrid>
        <w:gridCol w:w="4513"/>
        <w:gridCol w:w="4513"/>
      </w:tblGrid>
      <w:tr>
        <w:tc>
          <w:tcPr>
            <w:tcW w:type="pct" w:w="1500"/>
            <w:shd w:val="clear" w:color="auto" w:fill="D9D9D9"/>
            <w:tcBorders>
              <w:bottom w:val="double" w:sz="6" w:space="0" w:color="808080"/>
            </w:tcBorders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조항</w:t>
            </w:r>
          </w:p>
        </w:tc>
        <w:tc>
          <w:tcPr>
            <w:tcW w:type="pct" w:w="3500"/>
            <w:shd w:val="clear" w:color="auto" w:fill="D9D9D9"/>
            <w:tcBorders>
              <w:bottom w:val="double" w:sz="6" w:space="0" w:color="808080"/>
            </w:tcBorders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적용 문구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물환경보전법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제2조 제8호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‘특정수질유해물질’이란 사람의 건강, 재산이나 동식물의 생육에 직접 또는 간접으로 위해를 줄 우려가 있는 수질오염물질로서 기후에너지환경부령으로 정하는 것을 말한다.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물환경보전법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제2조 제11호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‘폐수무방류배출시설’이란 폐수배출시설에서 발생하는 폐수를 해당 사업장에서 수질오염방지시설을 이용하여 처리하거나 동일 폐수배출시설에 재이용하는 등 공공수역으로 배출하지 아니하는 폐수배출시설을 말한다.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물환경보전법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제33조 제7항·제9항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⑦ 상수원보호구역의 상류지역, 특별대책지역 및 그 상류지역 등의 배출시설로 인하여 환경기준 유지가 곤란하거나 중대한 위해가 우려되는 경우 배출시설의 설치를 제한할 수 있다.</w:t>
            </w: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⑨ 그럼에도 기후에너지환경부령으로 정하는 특정수질유해물질을 배출하는 배출시설은 설치제한지역에서 폐수무방류배출시설로 설치할 수 있다.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물환경보전법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제44조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허가를 받지 아니하거나 신고를 하지 아니하고 배출시설을 설치하거나 사용하는 자에 대하여 사용중지를 명하여야 하고, 그 설치장소가 다른 법률에 따라 설치가 금지된 경우 등에는 폐쇄를 명하여야 한다.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물환경보전법 시행령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제31조 제1항 제1호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특정수질유해물질이 기후에너지환경부령으로 정하는 기준 이상으로 배출되는 배출시설은 설치허가를 받아야 한다.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국토의 계획 및 이용에 관한 법률 시행령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제71조 제1항 [별표 20]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계획관리지역 안에서 건축할 수 없는 건축물을 정하고 있으며, 특정수질유해물질이 기준 이상으로 배출되는 공장을 포함한다(폐수무방류배출시설 설치허가를 받아 운영하는 경우는 제외).</w:t>
            </w:r>
          </w:p>
        </w:tc>
      </w:tr>
    </w:tbl>
    <w:p>
      <w:pPr>
        <w:autoSpaceDN w:val="0"/>
        <w:autoSpaceDE w:val="0"/>
        <w:pStyle w:val="note"/>
        <w:spacing w:before="80"/>
      </w:pPr>
      <w:r>
        <w:rPr>
          <w:rFonts w:ascii="맑은 고딕" w:hAnsi="맑은 고딕" w:eastAsia="맑은 고딕" w:cs="맑은 고딕"/>
          <w:color w:val="000000"/>
        </w:rPr>
        <w:t>※ ‘적용 문구’는 현행 조문을 요약한 것으로, 구법이 적용된 사건은 당시 조문과 다를 수 있습니다.</w:t>
      </w:r>
    </w:p>
    <w:p>
      <w:pPr>
        <w:autoSpaceDN w:val="0"/>
        <w:autoSpaceDE w:val="0"/>
        <w:pStyle w:val="note"/>
        <w:spacing w:before="120"/>
      </w:pPr>
      <w:r>
        <w:rPr>
          <w:rFonts w:ascii="맑은 고딕" w:hAnsi="맑은 고딕" w:eastAsia="맑은 고딕" w:cs="맑은 고딕"/>
          <w:color w:val="000000"/>
        </w:rPr>
        <w:t>※ 본 정리는 국가법령정보센터 판례를 정리한 참고자료이며, 구체적 사안은 판결 원문과 전문가 검토가 필요합니다.</w:t>
      </w:r>
    </w:p>
    <w:p>
      <w:pPr>
        <w:autoSpaceDN w:val="0"/>
        <w:autoSpaceDE w:val="0"/>
        <w:spacing w:before="120"/>
      </w:pPr>
      <w:r>
        <w:rPr>
          <w:rFonts w:ascii="맑은 고딕" w:hAnsi="맑은 고딕" w:eastAsia="맑은 고딕" w:cs="맑은 고딕"/>
          <w:color w:val="000000"/>
          <w:sz w:val="18"/>
        </w:rPr>
        <w:t>원문  https://www.law.go.kr/판례/(2019도3795)</w:t>
      </w:r>
    </w:p>
    <w:p>
      <w:pPr>
        <w:autoSpaceDN w:val="0"/>
        <w:autoSpaceDE w:val="0"/>
        <w:spacing w:before="80"/>
      </w:pPr>
      <w:r>
        <w:rPr>
          <w:rFonts w:ascii="맑은 고딕" w:hAnsi="맑은 고딕" w:eastAsia="맑은 고딕" w:cs="맑은 고딕"/>
          <w:color w:val="000000"/>
          <w:sz w:val="18"/>
        </w:rPr>
        <w:t>태그  #물환경보전법 #특정수질유해물질 #폐수무방류배출시설 #계획관리지역 #입지제한 #폐쇄명령 #형사판례 #대법원판례 #2020년판례 #2019도3795 #환경법 #환경인허가 #인허가서대리 #서대리</w:t>
      </w:r>
    </w:p>
    <w:p>
      <w:pPr>
        <w:autoSpaceDN w:val="0"/>
        <w:autoSpaceDE w:val="0"/>
        <w:pStyle w:val="mark"/>
      </w:pPr>
      <w:r>
        <w:rPr>
          <w:rFonts w:ascii="맑은 고딕" w:hAnsi="맑은 고딕" w:eastAsia="맑은 고딕" w:cs="맑은 고딕"/>
          <w:color w:val="000000"/>
        </w:rPr>
        <w:t>인허가 서대리  https://seodaeri.com/</w:t>
      </w:r>
    </w:p>
    <w:sectPr w:rsidR="00B27BF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5019F" w14:textId="77777777" w:rsidR="00B27BFC" w:rsidRDefault="00B27BFC" w:rsidP="00F52617">
      <w:r>
        <w:separator/>
      </w:r>
    </w:p>
  </w:endnote>
  <w:endnote w:type="continuationSeparator" w:id="0">
    <w:p w14:paraId="7974C6BA" w14:textId="77777777" w:rsidR="00B27BFC" w:rsidRDefault="00B27BFC" w:rsidP="00F526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AD215" w14:textId="77777777" w:rsidR="00B27BFC" w:rsidRDefault="00B27BFC" w:rsidP="00F52617">
      <w:r>
        <w:separator/>
      </w:r>
    </w:p>
  </w:footnote>
  <w:footnote w:type="continuationSeparator" w:id="0">
    <w:p w14:paraId="7300C114" w14:textId="77777777" w:rsidR="00B27BFC" w:rsidRDefault="00B27BFC" w:rsidP="00F526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B13F6"/>
    <w:multiLevelType w:val="multilevel"/>
    <w:tmpl w:val="EF2AA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8A3F22"/>
    <w:multiLevelType w:val="multilevel"/>
    <w:tmpl w:val="801AD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AF3513"/>
    <w:multiLevelType w:val="multilevel"/>
    <w:tmpl w:val="A90A5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35387B"/>
    <w:multiLevelType w:val="multilevel"/>
    <w:tmpl w:val="0E32E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2799665">
    <w:abstractNumId w:val="2"/>
  </w:num>
  <w:num w:numId="2" w16cid:durableId="1051461951">
    <w:abstractNumId w:val="0"/>
  </w:num>
  <w:num w:numId="3" w16cid:durableId="1212620573">
    <w:abstractNumId w:val="3"/>
  </w:num>
  <w:num w:numId="4" w16cid:durableId="6274003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617"/>
    <w:rsid w:val="00A42A17"/>
    <w:rsid w:val="00B27BFC"/>
    <w:rsid w:val="00F52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F796CA"/>
  <w15:chartTrackingRefBased/>
  <w15:docId w15:val="{AB8F6F78-766D-4920-A396-8027FE2C1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pPr>
      <w:spacing w:before="450" w:after="150"/>
      <w:outlineLvl w:val="1"/>
    </w:pPr>
    <w:rPr>
      <w:b/>
      <w:bCs/>
      <w:sz w:val="23"/>
      <w:szCs w:val="23"/>
    </w:rPr>
  </w:style>
  <w:style w:type="paragraph" w:styleId="3">
    <w:name w:val="heading 3"/>
    <w:basedOn w:val="a"/>
    <w:link w:val="3Char"/>
    <w:uiPriority w:val="9"/>
    <w:qFormat/>
    <w:pPr>
      <w:spacing w:before="165" w:after="75"/>
      <w:outlineLvl w:val="2"/>
    </w:pPr>
    <w:rPr>
      <w:b/>
      <w:bCs/>
      <w:sz w:val="20"/>
      <w:szCs w:val="20"/>
    </w:rPr>
  </w:style>
  <w:style w:type="paragraph" w:styleId="4">
    <w:name w:val="heading 4"/>
    <w:basedOn w:val="a"/>
    <w:link w:val="4Char"/>
    <w:uiPriority w:val="9"/>
    <w:qFormat/>
    <w:pPr>
      <w:spacing w:before="210" w:after="75"/>
      <w:outlineLvl w:val="3"/>
    </w:pPr>
    <w:rPr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page">
    <w:name w:val="page"/>
    <w:basedOn w:val="a"/>
    <w:pPr>
      <w:shd w:val="clear" w:color="auto" w:fill="FFFFFF"/>
    </w:pPr>
  </w:style>
  <w:style w:type="paragraph" w:customStyle="1" w:styleId="toolbar">
    <w:name w:val="toolbar"/>
    <w:basedOn w:val="a"/>
    <w:pPr>
      <w:jc w:val="right"/>
    </w:pPr>
    <w:rPr>
      <w:vanish/>
    </w:rPr>
  </w:style>
  <w:style w:type="paragraph" w:customStyle="1" w:styleId="btn">
    <w:name w:val="btn"/>
    <w:basedOn w:val="a"/>
    <w:pPr>
      <w:pBdr>
        <w:top w:val="single" w:sz="6" w:space="4" w:color="999999"/>
        <w:left w:val="single" w:sz="6" w:space="11" w:color="999999"/>
        <w:bottom w:val="single" w:sz="6" w:space="4" w:color="999999"/>
        <w:right w:val="single" w:sz="6" w:space="11" w:color="999999"/>
      </w:pBdr>
      <w:shd w:val="clear" w:color="auto" w:fill="FFFFFF"/>
      <w:spacing w:before="100" w:beforeAutospacing="1" w:after="100" w:afterAutospacing="1"/>
    </w:pPr>
    <w:rPr>
      <w:color w:val="333333"/>
      <w:sz w:val="18"/>
      <w:szCs w:val="18"/>
    </w:rPr>
  </w:style>
  <w:style w:type="paragraph" w:customStyle="1" w:styleId="doc-head">
    <w:name w:val="doc-head"/>
    <w:basedOn w:val="a"/>
    <w:pPr>
      <w:spacing w:before="100" w:beforeAutospacing="1" w:after="270"/>
      <w:jc w:val="center"/>
    </w:pPr>
  </w:style>
  <w:style w:type="paragraph" w:customStyle="1" w:styleId="bt">
    <w:name w:val="bt"/>
    <w:basedOn w:val="a"/>
    <w:pPr>
      <w:spacing w:before="75" w:after="45"/>
    </w:pPr>
    <w:rPr>
      <w:sz w:val="19"/>
      <w:szCs w:val="19"/>
    </w:rPr>
  </w:style>
  <w:style w:type="paragraph" w:customStyle="1" w:styleId="law-box">
    <w:name w:val="law-box"/>
    <w:basedOn w:val="a"/>
    <w:pPr>
      <w:shd w:val="clear" w:color="auto" w:fill="FBFBFB"/>
      <w:spacing w:before="120" w:after="60"/>
    </w:pPr>
  </w:style>
  <w:style w:type="paragraph" w:customStyle="1" w:styleId="note">
    <w:name w:val="note"/>
    <w:basedOn w:val="a"/>
    <w:pPr>
      <w:spacing w:before="105"/>
      <w:ind w:hanging="225"/>
    </w:pPr>
    <w:rPr>
      <w:b/>
      <w:bCs/>
      <w:sz w:val="19"/>
      <w:szCs w:val="19"/>
    </w:rPr>
  </w:style>
  <w:style w:type="paragraph" w:customStyle="1" w:styleId="src">
    <w:name w:val="src"/>
    <w:basedOn w:val="a"/>
    <w:pPr>
      <w:spacing w:before="90"/>
    </w:pPr>
    <w:rPr>
      <w:sz w:val="17"/>
      <w:szCs w:val="17"/>
    </w:rPr>
  </w:style>
  <w:style w:type="paragraph" w:customStyle="1" w:styleId="mark">
    <w:name w:val="mark"/>
    <w:basedOn w:val="a"/>
    <w:pPr>
      <w:spacing w:before="90"/>
      <w:jc w:val="right"/>
    </w:pPr>
    <w:rPr>
      <w:b/>
      <w:bCs/>
      <w:color w:val="9A9A9A"/>
      <w:spacing w:val="3"/>
      <w:sz w:val="17"/>
      <w:szCs w:val="17"/>
    </w:rPr>
  </w:style>
  <w:style w:type="paragraph" w:customStyle="1" w:styleId="runfoot">
    <w:name w:val="runfoot"/>
    <w:basedOn w:val="a"/>
    <w:pPr>
      <w:spacing w:before="240" w:after="100" w:afterAutospacing="1"/>
    </w:pPr>
    <w:rPr>
      <w:b/>
      <w:bCs/>
      <w:color w:val="666666"/>
      <w:sz w:val="17"/>
      <w:szCs w:val="17"/>
    </w:rPr>
  </w:style>
  <w:style w:type="paragraph" w:customStyle="1" w:styleId="sm">
    <w:name w:val="sm"/>
    <w:basedOn w:val="a"/>
    <w:pPr>
      <w:spacing w:before="100" w:beforeAutospacing="1" w:after="100" w:afterAutospacing="1"/>
    </w:pPr>
  </w:style>
  <w:style w:type="paragraph" w:customStyle="1" w:styleId="law">
    <w:name w:val="law"/>
    <w:basedOn w:val="a"/>
    <w:pPr>
      <w:spacing w:before="100" w:beforeAutospacing="1" w:after="100" w:afterAutospacing="1"/>
    </w:pPr>
  </w:style>
  <w:style w:type="paragraph" w:customStyle="1" w:styleId="rule">
    <w:name w:val="rule"/>
    <w:basedOn w:val="a"/>
    <w:pPr>
      <w:spacing w:before="100" w:beforeAutospacing="1" w:after="100" w:afterAutospacing="1"/>
    </w:pPr>
  </w:style>
  <w:style w:type="paragraph" w:customStyle="1" w:styleId="sep">
    <w:name w:val="sep"/>
    <w:basedOn w:val="a"/>
    <w:pPr>
      <w:spacing w:before="100" w:beforeAutospacing="1" w:after="100" w:afterAutospacing="1"/>
    </w:pPr>
  </w:style>
  <w:style w:type="paragraph" w:customStyle="1" w:styleId="grp">
    <w:name w:val="grp"/>
    <w:basedOn w:val="a"/>
    <w:pPr>
      <w:spacing w:before="100" w:beforeAutospacing="1" w:after="100" w:afterAutospacing="1"/>
    </w:pPr>
  </w:style>
  <w:style w:type="paragraph" w:customStyle="1" w:styleId="v">
    <w:name w:val="v"/>
    <w:basedOn w:val="a"/>
    <w:pPr>
      <w:spacing w:before="100" w:beforeAutospacing="1" w:after="100" w:afterAutospacing="1"/>
    </w:pPr>
  </w:style>
  <w:style w:type="paragraph" w:customStyle="1" w:styleId="ctr">
    <w:name w:val="ctr"/>
    <w:basedOn w:val="a"/>
    <w:pPr>
      <w:spacing w:before="100" w:beforeAutospacing="1" w:after="100" w:afterAutospacing="1"/>
    </w:pPr>
  </w:style>
  <w:style w:type="paragraph" w:customStyle="1" w:styleId="key">
    <w:name w:val="key"/>
    <w:basedOn w:val="a"/>
    <w:pPr>
      <w:spacing w:before="100" w:beforeAutospacing="1" w:after="100" w:afterAutospacing="1"/>
    </w:pPr>
  </w:style>
  <w:style w:type="paragraph" w:customStyle="1" w:styleId="lw">
    <w:name w:val="lw"/>
    <w:basedOn w:val="a"/>
    <w:pPr>
      <w:spacing w:before="100" w:beforeAutospacing="1" w:after="100" w:afterAutospacing="1"/>
    </w:pPr>
  </w:style>
  <w:style w:type="paragraph" w:customStyle="1" w:styleId="na">
    <w:name w:val="na"/>
    <w:basedOn w:val="a"/>
    <w:pPr>
      <w:spacing w:before="100" w:beforeAutospacing="1" w:after="100" w:afterAutospacing="1"/>
    </w:pPr>
  </w:style>
  <w:style w:type="paragraph" w:customStyle="1" w:styleId="cite">
    <w:name w:val="cite"/>
    <w:basedOn w:val="a"/>
    <w:pPr>
      <w:spacing w:before="100" w:beforeAutospacing="1" w:after="100" w:afterAutospacing="1"/>
    </w:pPr>
  </w:style>
  <w:style w:type="paragraph" w:customStyle="1" w:styleId="body">
    <w:name w:val="body"/>
    <w:basedOn w:val="a"/>
    <w:pPr>
      <w:spacing w:before="100" w:beforeAutospacing="1" w:after="100" w:afterAutospacing="1"/>
    </w:pPr>
  </w:style>
  <w:style w:type="paragraph" w:customStyle="1" w:styleId="u">
    <w:name w:val="u"/>
    <w:basedOn w:val="a"/>
    <w:pPr>
      <w:spacing w:before="100" w:beforeAutospacing="1" w:after="100" w:afterAutospacing="1"/>
    </w:pPr>
  </w:style>
  <w:style w:type="paragraph" w:customStyle="1" w:styleId="brand">
    <w:name w:val="brand"/>
    <w:basedOn w:val="a"/>
    <w:pPr>
      <w:spacing w:before="100" w:beforeAutospacing="1" w:after="100" w:afterAutospacing="1"/>
    </w:pPr>
  </w:style>
  <w:style w:type="paragraph" w:customStyle="1" w:styleId="url">
    <w:name w:val="url"/>
    <w:basedOn w:val="a"/>
    <w:pPr>
      <w:spacing w:before="100" w:beforeAutospacing="1" w:after="100" w:afterAutospacing="1"/>
    </w:pPr>
  </w:style>
  <w:style w:type="paragraph" w:customStyle="1" w:styleId="ho">
    <w:name w:val="ho"/>
    <w:basedOn w:val="a"/>
    <w:pPr>
      <w:spacing w:before="100" w:beforeAutospacing="1" w:after="100" w:afterAutospacing="1"/>
    </w:pPr>
  </w:style>
  <w:style w:type="paragraph" w:customStyle="1" w:styleId="mok">
    <w:name w:val="mok"/>
    <w:basedOn w:val="a"/>
    <w:pPr>
      <w:spacing w:before="100" w:beforeAutospacing="1" w:after="100" w:afterAutospacing="1"/>
    </w:pPr>
  </w:style>
  <w:style w:type="paragraph" w:customStyle="1" w:styleId="amend">
    <w:name w:val="amend"/>
    <w:basedOn w:val="a"/>
    <w:pPr>
      <w:spacing w:before="100" w:beforeAutospacing="1" w:after="100" w:afterAutospacing="1"/>
    </w:pPr>
  </w:style>
  <w:style w:type="paragraph" w:customStyle="1" w:styleId="bigo-t">
    <w:name w:val="bigo-t"/>
    <w:basedOn w:val="a"/>
    <w:pPr>
      <w:spacing w:before="100" w:beforeAutospacing="1" w:after="100" w:afterAutospacing="1"/>
    </w:pPr>
  </w:style>
  <w:style w:type="paragraph" w:customStyle="1" w:styleId="eq">
    <w:name w:val="eq"/>
    <w:basedOn w:val="a"/>
    <w:pPr>
      <w:spacing w:before="100" w:beforeAutospacing="1" w:after="100" w:afterAutospacing="1"/>
    </w:pPr>
  </w:style>
  <w:style w:type="paragraph" w:customStyle="1" w:styleId="law1">
    <w:name w:val="law1"/>
    <w:basedOn w:val="a"/>
    <w:pPr>
      <w:spacing w:after="180"/>
    </w:pPr>
    <w:rPr>
      <w:sz w:val="19"/>
      <w:szCs w:val="19"/>
    </w:rPr>
  </w:style>
  <w:style w:type="paragraph" w:customStyle="1" w:styleId="rule1">
    <w:name w:val="rule1"/>
    <w:basedOn w:val="a"/>
  </w:style>
  <w:style w:type="paragraph" w:customStyle="1" w:styleId="sm1">
    <w:name w:val="sm1"/>
    <w:basedOn w:val="a"/>
    <w:pPr>
      <w:spacing w:before="100" w:beforeAutospacing="1" w:after="100" w:afterAutospacing="1"/>
      <w:ind w:left="90"/>
    </w:pPr>
    <w:rPr>
      <w:sz w:val="17"/>
      <w:szCs w:val="17"/>
    </w:rPr>
  </w:style>
  <w:style w:type="paragraph" w:customStyle="1" w:styleId="sep1">
    <w:name w:val="sep1"/>
    <w:basedOn w:val="a"/>
    <w:pPr>
      <w:pBdr>
        <w:left w:val="single" w:sz="6" w:space="0" w:color="E0E0E0"/>
      </w:pBdr>
      <w:spacing w:before="100" w:beforeAutospacing="1" w:after="100" w:afterAutospacing="1"/>
    </w:pPr>
  </w:style>
  <w:style w:type="paragraph" w:customStyle="1" w:styleId="grp1">
    <w:name w:val="grp1"/>
    <w:basedOn w:val="a"/>
    <w:pPr>
      <w:shd w:val="clear" w:color="auto" w:fill="F5F5F5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v1">
    <w:name w:val="v1"/>
    <w:basedOn w:val="a"/>
    <w:pPr>
      <w:spacing w:before="100" w:beforeAutospacing="1" w:after="100" w:afterAutospacing="1"/>
      <w:textAlignment w:val="center"/>
    </w:pPr>
  </w:style>
  <w:style w:type="paragraph" w:customStyle="1" w:styleId="ctr1">
    <w:name w:val="ctr1"/>
    <w:basedOn w:val="a"/>
    <w:pPr>
      <w:spacing w:before="100" w:beforeAutospacing="1" w:after="100" w:afterAutospacing="1"/>
      <w:jc w:val="center"/>
    </w:pPr>
  </w:style>
  <w:style w:type="paragraph" w:customStyle="1" w:styleId="key1">
    <w:name w:val="key1"/>
    <w:basedOn w:val="a"/>
    <w:pPr>
      <w:spacing w:before="100" w:beforeAutospacing="1" w:after="100" w:afterAutospacing="1"/>
    </w:pPr>
    <w:rPr>
      <w:b/>
      <w:bCs/>
    </w:rPr>
  </w:style>
  <w:style w:type="paragraph" w:customStyle="1" w:styleId="lw1">
    <w:name w:val="lw1"/>
    <w:basedOn w:val="a"/>
    <w:pPr>
      <w:spacing w:before="100" w:beforeAutospacing="1" w:after="100" w:afterAutospacing="1"/>
      <w:ind w:left="60"/>
    </w:pPr>
    <w:rPr>
      <w:sz w:val="17"/>
      <w:szCs w:val="17"/>
    </w:rPr>
  </w:style>
  <w:style w:type="paragraph" w:customStyle="1" w:styleId="na1">
    <w:name w:val="na1"/>
    <w:basedOn w:val="a"/>
    <w:pPr>
      <w:spacing w:before="100" w:beforeAutospacing="1" w:after="100" w:afterAutospacing="1"/>
    </w:pPr>
    <w:rPr>
      <w:color w:val="8A8A8A"/>
    </w:rPr>
  </w:style>
  <w:style w:type="paragraph" w:customStyle="1" w:styleId="cite1">
    <w:name w:val="cite1"/>
    <w:basedOn w:val="a"/>
    <w:pPr>
      <w:spacing w:after="90"/>
    </w:pPr>
    <w:rPr>
      <w:b/>
      <w:bCs/>
      <w:sz w:val="17"/>
      <w:szCs w:val="17"/>
    </w:rPr>
  </w:style>
  <w:style w:type="paragraph" w:customStyle="1" w:styleId="body1">
    <w:name w:val="body1"/>
    <w:basedOn w:val="a"/>
    <w:pPr>
      <w:spacing w:before="100" w:beforeAutospacing="1" w:after="100" w:afterAutospacing="1"/>
    </w:pPr>
    <w:rPr>
      <w:color w:val="000000"/>
      <w:sz w:val="19"/>
      <w:szCs w:val="19"/>
    </w:rPr>
  </w:style>
  <w:style w:type="paragraph" w:customStyle="1" w:styleId="ho1">
    <w:name w:val="ho1"/>
    <w:basedOn w:val="a"/>
    <w:pPr>
      <w:spacing w:after="75"/>
    </w:pPr>
  </w:style>
  <w:style w:type="paragraph" w:customStyle="1" w:styleId="mok1">
    <w:name w:val="mok1"/>
    <w:basedOn w:val="a"/>
    <w:pPr>
      <w:spacing w:after="75"/>
    </w:pPr>
  </w:style>
  <w:style w:type="paragraph" w:customStyle="1" w:styleId="amend1">
    <w:name w:val="amend1"/>
    <w:basedOn w:val="a"/>
    <w:pPr>
      <w:spacing w:after="75"/>
    </w:pPr>
    <w:rPr>
      <w:sz w:val="16"/>
      <w:szCs w:val="16"/>
    </w:rPr>
  </w:style>
  <w:style w:type="paragraph" w:customStyle="1" w:styleId="bigo-t1">
    <w:name w:val="bigo-t1"/>
    <w:basedOn w:val="a"/>
    <w:pPr>
      <w:spacing w:before="120" w:after="45"/>
    </w:pPr>
    <w:rPr>
      <w:rFonts w:ascii="맑은 고딕" w:eastAsia="맑은 고딕" w:hAnsi="맑은 고딕"/>
      <w:b/>
      <w:bCs/>
      <w:sz w:val="17"/>
      <w:szCs w:val="17"/>
    </w:rPr>
  </w:style>
  <w:style w:type="paragraph" w:customStyle="1" w:styleId="eq1">
    <w:name w:val="eq1"/>
    <w:basedOn w:val="a"/>
    <w:pPr>
      <w:spacing w:before="75" w:after="75"/>
    </w:pPr>
  </w:style>
  <w:style w:type="paragraph" w:customStyle="1" w:styleId="u1">
    <w:name w:val="u1"/>
    <w:basedOn w:val="a"/>
    <w:pPr>
      <w:spacing w:before="100" w:beforeAutospacing="1" w:after="100" w:afterAutospacing="1"/>
      <w:ind w:left="60"/>
    </w:pPr>
    <w:rPr>
      <w:b/>
      <w:bCs/>
      <w:color w:val="B0B0B0"/>
    </w:rPr>
  </w:style>
  <w:style w:type="paragraph" w:customStyle="1" w:styleId="brand1">
    <w:name w:val="brand1"/>
    <w:basedOn w:val="a"/>
    <w:pPr>
      <w:spacing w:before="100" w:beforeAutospacing="1" w:after="100" w:afterAutospacing="1"/>
    </w:pPr>
    <w:rPr>
      <w:b/>
      <w:bCs/>
      <w:color w:val="555555"/>
    </w:rPr>
  </w:style>
  <w:style w:type="paragraph" w:customStyle="1" w:styleId="url1">
    <w:name w:val="url1"/>
    <w:basedOn w:val="a"/>
    <w:pPr>
      <w:spacing w:before="100" w:beforeAutospacing="1" w:after="100" w:afterAutospacing="1"/>
    </w:pPr>
    <w:rPr>
      <w:color w:val="777777"/>
    </w:rPr>
  </w:style>
  <w:style w:type="character" w:customStyle="1" w:styleId="amend2">
    <w:name w:val="amend2"/>
    <w:basedOn w:val="a0"/>
    <w:rPr>
      <w:sz w:val="16"/>
      <w:szCs w:val="16"/>
    </w:rPr>
  </w:style>
  <w:style w:type="paragraph" w:styleId="a4">
    <w:name w:val="header"/>
    <w:basedOn w:val="a"/>
    <w:link w:val="Char"/>
    <w:uiPriority w:val="99"/>
    <w:unhideWhenUsed/>
    <w:rsid w:val="00F5261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52617"/>
    <w:rPr>
      <w:rFonts w:ascii="굴림" w:eastAsia="굴림" w:hAnsi="굴림" w:cs="굴림"/>
      <w:sz w:val="24"/>
      <w:szCs w:val="24"/>
    </w:rPr>
  </w:style>
  <w:style w:type="paragraph" w:styleId="a5">
    <w:name w:val="footer"/>
    <w:basedOn w:val="a"/>
    <w:link w:val="Char0"/>
    <w:uiPriority w:val="99"/>
    <w:unhideWhenUsed/>
    <w:rsid w:val="00F5261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52617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8573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9238">
          <w:marLeft w:val="0"/>
          <w:marRight w:val="0"/>
          <w:marTop w:val="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0965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86821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46457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09516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9496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12427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7327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33963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57672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01840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6105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8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8910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1344</Words>
  <Characters>7661</Characters>
  <Application>Microsoft Office Word</Application>
  <DocSecurity>4</DocSecurity>
  <Lines>63</Lines>
  <Paragraphs>17</Paragraphs>
  <ScaleCrop>false</ScaleCrop>
  <Company/>
  <LinksUpToDate>false</LinksUpToDate>
  <CharactersWithSpaces>8988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환경기술인 보유 자격기준 및 법적 근거</dc:title>
  <dc:subject/>
  <dc:creator>GWANGSIK JO</dc:creator>
  <cp:keywords/>
  <dc:description/>
  <cp:lastModifiedBy>GWANGSIK JO</cp:lastModifiedBy>
  <cp:revision>2</cp:revision>
  <dcterms:created xsi:type="dcterms:W3CDTF">2026-07-31T02:26:00Z</dcterms:created>
  <dcterms:modified xsi:type="dcterms:W3CDTF">2026-07-31T02:26:00Z</dcterms:modified>
</cp:coreProperties>
</file>