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비정상운영신고를 했어도 기존 시설을 돌릴 수 있으면 돌려야 합니다. (92도2517)</w:t>
      </w:r>
    </w:p>
    <w:p>
      <w:pPr>
        <w:autoSpaceDN w:val="0"/>
        <w:autoSpaceDE w:val="0"/>
        <w:pStyle w:val="law1"/>
        <w:spacing w:after="160"/>
      </w:pPr>
      <w:r>
        <w:rPr>
          <w:rFonts w:ascii="맑은 고딕" w:hAnsi="맑은 고딕" w:eastAsia="맑은 고딕" w:cs="맑은 고딕"/>
          <w:color w:val="000000"/>
        </w:rPr>
        <w:t>대법원 92도2517 (1992.12.08 선고)</w:t>
      </w:r>
    </w:p>
    <w:p>
      <w:pPr>
        <w:autoSpaceDN w:val="0"/>
        <w:autoSpaceDE w:val="0"/>
        <w:spacing w:after="120"/>
      </w:pPr>
      <w:r>
        <w:rPr>
          <w:rFonts w:ascii="맑은 고딕" w:hAnsi="맑은 고딕" w:eastAsia="맑은 고딕" w:cs="맑은 고딕"/>
          <w:color w:val="000000"/>
        </w:rPr>
        <w:t>○ 방지시설 신설을 이유로 비정상운영신고를 한 사업자가 기존 방지시설을 고의로 가동하지 않아 기준 초과 폐수를 방류한 사건입니다. 대법원은 비정상운영신고를 하였더라도 가동을 중단할 필요 없이 기존 시설의 정상운영이 가능한 경우에는 정상운영할 의무가 있고, 이를 위반하면 처벌대상이 된다고 보았습니다.</w:t>
      </w: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비정상운영신고를 하면 방지시설을 안 돌려도 되나요?</w:t>
            </w:r>
          </w:p>
          <w:p>
            <w:pPr>
              <w:autoSpaceDN w:val="0"/>
              <w:autoSpaceDE w:val="0"/>
            </w:pPr>
            <w:r>
              <w:rPr>
                <w:rFonts w:ascii="맑은 고딕" w:hAnsi="맑은 고딕" w:eastAsia="맑은 고딕" w:cs="맑은 고딕"/>
                <w:color w:val="000000"/>
                <w:sz w:val="19"/>
              </w:rPr>
              <w:t>A. 아닙니다. 개선·변경이나 고장·수리를 위해 신고를 하였더라도, 가동을 중단할 필요 없이 기존 시설의 정상운영이 가능하다면 정상운영할 의무가 있습니다.</w:t>
            </w:r>
          </w:p>
          <w:p>
            <w:pPr>
              <w:autoSpaceDN w:val="0"/>
              <w:autoSpaceDE w:val="0"/>
            </w:pPr>
          </w:p>
          <w:p>
            <w:pPr>
              <w:autoSpaceDN w:val="0"/>
              <w:autoSpaceDE w:val="0"/>
            </w:pPr>
            <w:r>
              <w:rPr>
                <w:rFonts w:ascii="맑은 고딕" w:hAnsi="맑은 고딕" w:eastAsia="맑은 고딕" w:cs="맑은 고딕"/>
                <w:b/>
                <w:color w:val="000000"/>
                <w:sz w:val="19"/>
              </w:rPr>
              <w:t>Q. 새 방지시설을 다른 위치에 설치하는 중이었는데도 그런가요?</w:t>
            </w:r>
          </w:p>
          <w:p>
            <w:pPr>
              <w:autoSpaceDN w:val="0"/>
              <w:autoSpaceDE w:val="0"/>
            </w:pPr>
            <w:r>
              <w:rPr>
                <w:rFonts w:ascii="맑은 고딕" w:hAnsi="맑은 고딕" w:eastAsia="맑은 고딕" w:cs="맑은 고딕"/>
                <w:color w:val="000000"/>
                <w:sz w:val="19"/>
              </w:rPr>
              <w:t>A. 그렇습니다. 이 사건에서는 기존의 화학적 처리방식 방지시설과 다른 위치에 생물학적 처리방식 시설을 신설한 것이어서, 기존 시설의 가동을 중단할 필요가 없었습니다.</w:t>
            </w:r>
          </w:p>
          <w:p>
            <w:pPr>
              <w:autoSpaceDN w:val="0"/>
              <w:autoSpaceDE w:val="0"/>
            </w:pPr>
          </w:p>
          <w:p>
            <w:pPr>
              <w:autoSpaceDN w:val="0"/>
              <w:autoSpaceDE w:val="0"/>
            </w:pPr>
            <w:r>
              <w:rPr>
                <w:rFonts w:ascii="맑은 고딕" w:hAnsi="맑은 고딕" w:eastAsia="맑은 고딕" w:cs="맑은 고딕"/>
                <w:b/>
                <w:color w:val="000000"/>
                <w:sz w:val="19"/>
              </w:rPr>
              <w:t>Q. 위반하면 어떻게 되나요?</w:t>
            </w:r>
          </w:p>
          <w:p>
            <w:pPr>
              <w:autoSpaceDN w:val="0"/>
              <w:autoSpaceDE w:val="0"/>
            </w:pPr>
            <w:r>
              <w:rPr>
                <w:rFonts w:ascii="맑은 고딕" w:hAnsi="맑은 고딕" w:eastAsia="맑은 고딕" w:cs="맑은 고딕"/>
                <w:color w:val="000000"/>
                <w:sz w:val="19"/>
              </w:rPr>
              <w:t>A. 배출시설 및 방지시설을 정당한 사유 없이 정상적으로 가동하지 아니하여 배출허용기준을 초과한 수질오염물질을 배출한 행위로 처벌 대상이 됩니다.</w:t>
            </w:r>
          </w:p>
        </w:tc>
      </w:tr>
    </w:tbl>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92도2517</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1992.12.08</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피고인 사업자 · 상고인 피고인</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형사 (수질환경보전법위반)</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서울형사지법 92노3200 (1992. 8. 19.)</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상고기각 (원심 확정)</w:t>
            </w:r>
          </w:p>
        </w:tc>
      </w:tr>
    </w:tbl>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구 수질환경보전법령에 의하면 사업자는 조업을 할 때 배출시설에서 배출되는 오염물질이 배출허용기준에 적합하도록 배출시설 및 방지시설을 정상운영하여야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다만 배출시설 및 방지시설의 개선·변경이나 고장 또는 수리 등 부득이한 사유로 정상운영할 수 없어 배출허용기준을 지킬 수 없는 경우에는 비정상운영신고를 하도록 되어 있었다.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피고인은 비정상운영신고를 하고 새로운 폐수방지시설을 설치하였는데, 그 시설은 기존의 화학적 처리방식에 의한 방지시설과는 다른 위치에 신설한 생물학적 처리방식에 의한 방지시설이었다.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따라서 기존 시설의 가동을 중단할 필요 없이 정상운영이 가능하였음에도, 피고인은 기존시설 중 약품반응조 등을 고의로 가동하지 아니하였다.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그 결과 배출기준치를 초과한 폐수가 방류되었고, 제1심과 원심은 피고인에게 벌칙규정을 적용하여 처단하였다.</w:t>
      </w: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u w:val="single"/>
        </w:rPr>
        <w:t>이 사건의 쟁점은, 수질오염물질에 대한 배출시설 및 방지시설의 개선·변경이나 고장 또는 수리를 위하여 비정상운영신고를 하였더라도 기존시설의 정상운영이 가능한 경우 이를 정상운영하지 아니하였다면 처벌대상이 되는지 여부이다.</w:t>
      </w: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color w:val="000000"/>
        </w:rPr>
        <w:t>① 원심의 판단 원심은 피고인이 비정상운영신고를 하고 새 방지시설을 설치하는 중이었더라도 기존시설의 정상운영이 가능하였음에도 약품반응조 등을 고의로 가동하지 아니하여 기준치를 초과한 폐수를 방류하였다고 보아, 벌칙규정을 적용하여 처단하였다.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② 대법원의 판단 원심의 판단은 정당하고, 거기에 법리오해의 위법이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③ 구 수질환경보전법령의 각 규정에 의하면 사업자는 조업을 할 때에는 배출시설에서 배출되는 오염물질이 배출허용기준에 적합하도록 배출시설 및 방지시설을 정상운영하여야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다만 배출시설 및 방지시설의 개선·변경이나 고장 또는 수리 등 부득이한 사유로 정상운영할 수 없어 배출허용기준을 지킬 수 없는 경우에는 비정상운영신고를 하도록 되어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그러므로 배출시설 및 방지시설의 개선·변경이나 고장 또는 수리를 위하여 비정상운영신고를 하였다고 하여도, 그 가동을 중단할 필요 없이 기존시설의 정상운영이 가능한 경우에는 정상운영할 의무가 있고 이를 위반한 때에는 벌칙규정의 적용대상이 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이 사건에서 피고인이 비정상운영신고를 하고 새로 설치한 폐수방지시설은 기존의 화학적 처리방식에 의한 방지시설과는 다른 위치에 신설한 생물학적 처리방식에 의한 방지시설이었다.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따라서 위 기존시설의 가동을 중단할 필요 없이 정상운영이 가능하였음에도 기존시설 중 약품반응조 등을 고의로 가동하지 아니하여 배출기준치를 초과한 폐수를 방류하게 한 사실이 넉넉히 인정된다.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이에 상고를 기각한다.</w:t>
      </w:r>
    </w:p>
    <w:p>
      <w:pPr>
        <w:autoSpaceDN w:val="0"/>
        <w:autoSpaceDE w:val="0"/>
      </w:pPr>
    </w:p>
    <w:p>
      <w:pPr>
        <w:autoSpaceDN w:val="0"/>
        <w:autoSpaceDE w:val="0"/>
        <w:pStyle w:val="2"/>
        <w:spacing w:before="80"/>
      </w:pPr>
      <w:r>
        <w:rPr>
          <w:rFonts w:ascii="맑은 고딕" w:hAnsi="맑은 고딕" w:eastAsia="맑은 고딕" w:cs="맑은 고딕"/>
          <w:color w:val="000000"/>
        </w:rPr>
        <w:t>5. 판결요지</w:t>
      </w:r>
    </w:p>
    <w:p>
      <w:pPr>
        <w:autoSpaceDN w:val="0"/>
        <w:autoSpaceDE w:val="0"/>
      </w:pPr>
      <w:r>
        <w:rPr>
          <w:rFonts w:ascii="맑은 고딕" w:hAnsi="맑은 고딕" w:eastAsia="맑은 고딕" w:cs="맑은 고딕"/>
          <w:color w:val="000000"/>
          <w:u w:val="single"/>
        </w:rPr>
        <w:t>① 수질오염물질에 대한 배출시설 및 방지시설의 개선·변경이나 고장 또는 수리를 위하여 비정상운영신고를 하였다고 하여도 그 가동을 중단할 필요 없이 기존시설의 정상운영이 가능한 경우에는 정상운영할 의무가 있고, 이를 위반한 때에는 수질환경보전법 제56조 제3호의 벌칙규정의 적용대상이 된다.</w:t>
      </w:r>
    </w:p>
    <w:p>
      <w:pPr>
        <w:autoSpaceDN w:val="0"/>
        <w:autoSpaceDE w:val="0"/>
      </w:pPr>
    </w:p>
    <w:p>
      <w:pPr>
        <w:autoSpaceDN w:val="0"/>
        <w:autoSpaceDE w:val="0"/>
        <w:pStyle w:val="2"/>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제32조 제1항</w:t>
            </w:r>
          </w:p>
        </w:tc>
        <w:tc>
          <w:tcPr>
            <w:tcW w:type="pct" w:w="3500"/>
          </w:tcPr>
          <w:p>
            <w:pPr>
              <w:autoSpaceDN w:val="0"/>
              <w:autoSpaceDE w:val="0"/>
            </w:pPr>
            <w:r>
              <w:rPr>
                <w:rFonts w:ascii="맑은 고딕" w:hAnsi="맑은 고딕" w:eastAsia="맑은 고딕" w:cs="맑은 고딕"/>
                <w:color w:val="000000"/>
                <w:sz w:val="19"/>
              </w:rPr>
              <w:t>폐수배출시설에서 배출되는 수질오염물질의 배출허용기준은 기후에너지환경부령으로 정한다.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제38조 제1항 제4호</w:t>
            </w:r>
          </w:p>
        </w:tc>
        <w:tc>
          <w:tcPr>
            <w:tcW w:type="pct" w:w="3500"/>
          </w:tcPr>
          <w:p>
            <w:pPr>
              <w:autoSpaceDN w:val="0"/>
              <w:autoSpaceDE w:val="0"/>
            </w:pPr>
            <w:r>
              <w:rPr>
                <w:rFonts w:ascii="맑은 고딕" w:hAnsi="맑은 고딕" w:eastAsia="맑은 고딕" w:cs="맑은 고딕"/>
                <w:color w:val="000000"/>
                <w:sz w:val="19"/>
              </w:rPr>
              <w:t>사업자 또는 방지시설을 운영하는 자는 배출시설 및 방지시설을 정당한 사유 없이 정상적으로 가동하지 아니하여 배출허용기준을 초과한 수질오염물질을 배출하는 행위를 하여서는 아니 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제35조 제1항</w:t>
            </w:r>
          </w:p>
        </w:tc>
        <w:tc>
          <w:tcPr>
            <w:tcW w:type="pct" w:w="3500"/>
          </w:tcPr>
          <w:p>
            <w:pPr>
              <w:autoSpaceDN w:val="0"/>
              <w:autoSpaceDE w:val="0"/>
            </w:pPr>
            <w:r>
              <w:rPr>
                <w:rFonts w:ascii="맑은 고딕" w:hAnsi="맑은 고딕" w:eastAsia="맑은 고딕" w:cs="맑은 고딕"/>
                <w:color w:val="000000"/>
                <w:sz w:val="19"/>
              </w:rPr>
              <w:t>허가·변경허가를 받은 자 또는 신고·변경신고를 한 자가 그 배출시설을 설치하거나 변경할 때에는 배출되는 수질오염물질이 배출허용기준 이하로 배출되게 하기 위하여 수질오염방지시설을 설치하여야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제42조 제1항 제10호</w:t>
            </w:r>
          </w:p>
        </w:tc>
        <w:tc>
          <w:tcPr>
            <w:tcW w:type="pct" w:w="3500"/>
          </w:tcPr>
          <w:p>
            <w:pPr>
              <w:autoSpaceDN w:val="0"/>
              <w:autoSpaceDE w:val="0"/>
            </w:pPr>
            <w:r>
              <w:rPr>
                <w:rFonts w:ascii="맑은 고딕" w:hAnsi="맑은 고딕" w:eastAsia="맑은 고딕" w:cs="맑은 고딕"/>
                <w:color w:val="000000"/>
                <w:sz w:val="19"/>
              </w:rPr>
              <w:t>제38조 제1항 각 호의 어느 하나에 해당하는 행위를 한 경우에는 설치허가·변경허가를 취소하거나 배출시설의 폐쇄 또는 6개월 이내의 조업정지를 명할 수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제76조</w:t>
            </w:r>
          </w:p>
        </w:tc>
        <w:tc>
          <w:tcPr>
            <w:tcW w:type="pct" w:w="3500"/>
          </w:tcPr>
          <w:p>
            <w:pPr>
              <w:autoSpaceDN w:val="0"/>
              <w:autoSpaceDE w:val="0"/>
            </w:pPr>
            <w:r>
              <w:rPr>
                <w:rFonts w:ascii="맑은 고딕" w:hAnsi="맑은 고딕" w:eastAsia="맑은 고딕" w:cs="맑은 고딕"/>
                <w:color w:val="000000"/>
                <w:sz w:val="19"/>
              </w:rPr>
              <w:t>제38조 제1항 각 호의 어느 하나에 해당하는 행위를 한 자를 처벌한다.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https://www.law.go.kr/판례/(92도2517)</w:t>
      </w:r>
    </w:p>
    <w:p>
      <w:pPr>
        <w:autoSpaceDN w:val="0"/>
        <w:autoSpaceDE w:val="0"/>
        <w:spacing w:before="80"/>
      </w:pPr>
      <w:r>
        <w:rPr>
          <w:rFonts w:ascii="맑은 고딕" w:hAnsi="맑은 고딕" w:eastAsia="맑은 고딕" w:cs="맑은 고딕"/>
          <w:color w:val="000000"/>
          <w:sz w:val="18"/>
        </w:rPr>
        <w:t>태그  #물환경보전법 #방지시설 #정상가동 #비정상운영신고 #배출허용기준 #조업정지 #형사판례 #대법원판례 #1992년판례 #92도2517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