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국가기관이 측정한 오염도는 함부로 배척할 수 없습니다. (93누814)</w:t>
      </w:r>
    </w:p>
    <w:p>
      <w:pPr>
        <w:autoSpaceDN w:val="0"/>
        <w:autoSpaceDE w:val="0"/>
        <w:pStyle w:val="law1"/>
        <w:spacing w:after="160"/>
      </w:pPr>
      <w:r>
        <w:rPr>
          <w:rFonts w:ascii="맑은 고딕" w:hAnsi="맑은 고딕" w:eastAsia="맑은 고딕" w:cs="맑은 고딕"/>
          <w:color w:val="000000"/>
        </w:rPr>
        <w:t>대법원 93누814 (1993.07.16 선고)</w:t>
      </w:r>
    </w:p>
    <w:p>
      <w:pPr>
        <w:autoSpaceDN w:val="0"/>
        <w:autoSpaceDE w:val="0"/>
        <w:spacing w:after="120"/>
      </w:pPr>
      <w:r>
        <w:rPr>
          <w:rFonts w:ascii="맑은 고딕" w:hAnsi="맑은 고딕" w:eastAsia="맑은 고딕" w:cs="맑은 고딕"/>
          <w:color w:val="000000"/>
        </w:rPr>
        <w:t>○ 특정유해물질인 비소가 배출허용기준의 189배로 측정되어 약 12억 원의 배출부과금이 부과된 사건입니다. 대법원은 국가기관의 측정분석 시설·장비·기술능력이 제대로 갖추어져 있었다면 그 시험결과는 공신력이 높은 것이어서 합리적인 이유 없이 신빙성을 배척해서는 안 되고, 다른 기관의 측정치가 있다는 사실만으로는 배출부과금 조정사유가 되지 않는다고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다른 기관에서 측정한 수치가 훨씬 낮으면 처분이 취소되나요?</w:t>
            </w:r>
          </w:p>
          <w:p>
            <w:pPr>
              <w:autoSpaceDN w:val="0"/>
              <w:autoSpaceDE w:val="0"/>
            </w:pPr>
            <w:r>
              <w:rPr>
                <w:rFonts w:ascii="맑은 고딕" w:hAnsi="맑은 고딕" w:eastAsia="맑은 고딕" w:cs="맑은 고딕"/>
                <w:color w:val="000000"/>
                <w:sz w:val="19"/>
              </w:rPr>
              <w:t>A. 그것만으로는 부족합니다. 국가기관의 측정결과는 시설·장비·기술능력이 갖추어져 있었다면 공신력이 높은 것으로 보아야 하고, 시료채취 장소와 조건, 분석 장비와 측정방법 등을 대조·심리하지 않은 채 함부로 배척할 수 없습니다.</w:t>
            </w:r>
          </w:p>
          <w:p>
            <w:pPr>
              <w:autoSpaceDN w:val="0"/>
              <w:autoSpaceDE w:val="0"/>
            </w:pPr>
          </w:p>
          <w:p>
            <w:pPr>
              <w:autoSpaceDN w:val="0"/>
              <w:autoSpaceDE w:val="0"/>
            </w:pPr>
            <w:r>
              <w:rPr>
                <w:rFonts w:ascii="맑은 고딕" w:hAnsi="맑은 고딕" w:eastAsia="맑은 고딕" w:cs="맑은 고딕"/>
                <w:b/>
                <w:color w:val="000000"/>
                <w:sz w:val="19"/>
              </w:rPr>
              <w:t>Q. 그럼 사업자는 무엇을 다투어야 하나요?</w:t>
            </w:r>
          </w:p>
          <w:p>
            <w:pPr>
              <w:autoSpaceDN w:val="0"/>
              <w:autoSpaceDE w:val="0"/>
            </w:pPr>
            <w:r>
              <w:rPr>
                <w:rFonts w:ascii="맑은 고딕" w:hAnsi="맑은 고딕" w:eastAsia="맑은 고딕" w:cs="맑은 고딕"/>
                <w:color w:val="000000"/>
                <w:sz w:val="19"/>
              </w:rPr>
              <w:t>A. 시료채취의 장소·조건이 폐수 성분을 대표할 수 있도록 규정에 맞았는지, 실험분석 시설·장비·기술능력에 이상이 없었는지, 측정방법의 일반원칙이 지켜졌는지를 구체적으로 다투어야 합니다. 보관 중인 시료의 재측정을 요구하는 것도 방법입니다.</w:t>
            </w:r>
          </w:p>
          <w:p>
            <w:pPr>
              <w:autoSpaceDN w:val="0"/>
              <w:autoSpaceDE w:val="0"/>
            </w:pPr>
          </w:p>
          <w:p>
            <w:pPr>
              <w:autoSpaceDN w:val="0"/>
              <w:autoSpaceDE w:val="0"/>
            </w:pPr>
            <w:r>
              <w:rPr>
                <w:rFonts w:ascii="맑은 고딕" w:hAnsi="맑은 고딕" w:eastAsia="맑은 고딕" w:cs="맑은 고딕"/>
                <w:b/>
                <w:color w:val="000000"/>
                <w:sz w:val="19"/>
              </w:rPr>
              <w:t>Q. 다른 측정치가 있으면 배출부과금이 조정되나요?</w:t>
            </w:r>
          </w:p>
          <w:p>
            <w:pPr>
              <w:autoSpaceDN w:val="0"/>
              <w:autoSpaceDE w:val="0"/>
            </w:pPr>
            <w:r>
              <w:rPr>
                <w:rFonts w:ascii="맑은 고딕" w:hAnsi="맑은 고딕" w:eastAsia="맑은 고딕" w:cs="맑은 고딕"/>
                <w:color w:val="000000"/>
                <w:sz w:val="19"/>
              </w:rPr>
              <w:t>A. 아닙니다. 조정사유는 ‘부과 후 배출상태가 처음 측정할 때와 달라졌다고 인정하여 다시 점검한 결과 배출량이 달라진 경우’입니다. 부과권자에게 자료를 제시해 재점검을 받았거나, 자료를 제시했는데도 합리적 이유 없이 재점검을 하지 않은 경우라야 합니다.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93누814</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1993.07.16</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주식회사(화공약품 제조) · 피고 전라북도지사</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(공해배출부과금부과처분취소)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광주고법 90구2078 (1992. 11. 26.)</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중 피고 패소 부분 파기환송</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1990. 5. 11. 환경단속공무원이 원고 회사가 배출한 폐수 시료를 채취하여 오염물질의 농도를 측정한 결과, 특정유해물질인 비소(As)가 배출허용기준인 1.0mg/L를 훨씬 초과한 189.31mg/L로 측정되었다.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피고는 이를 근거로 구 환경보전법 제19조의2 등에 의하여 원고에게 배출부과금 1,195,431,620원을 부과하였다.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시료는 원고 회사의 이사와 배출시설관리인을 입회시킨 가운데 채취되었고, 광주지방환경청 측정분석과에서 환경오염공정시험법 흡광광도법에 의하여 30회 이상 시험을 거쳐 위 수치가 나왔다.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한편 환경관리공단 이리사업소가 1990. 5. 13.부터 5. 28.까지 사이에 측정한 비소 농도는 최고치가 47.0에 지나지 않아 위 189.31의 4분의 1에도 미치지 못하였다.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시료채취 당일인 1990. 5. 11.에는 원고 회사에서 다량의 무허가 폐수배출시설이 적발되기도 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원심은 원고의 제조공정에 비소함유물이 쓰이지 않는다는 점과 두 기관의 측정치 차이를 들어 189.31이라는 측정치를 채용하기 어렵다고 보아 처분을 위법하다고 판단하였고, 피고가 상고하였다.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국가기관이 측정한 오염물질 농도의 신빙성을 배척하기 위한 심리의 정도와, 다른 기관의 측정치가 존재한다는 사정이 배출부과금의 조정사유에 해당하는지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광주지방환경청 측정분석과의 시설, 장비, 기술능력이 제대로 갖추어져 있었다면 그 시험결과는 매우 공신력이 높은 것으로 보아야 하고, 합리적인 이유 없이 함부로 그 신빙성이 배척되어서는 아니 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원고의 제조공정에 비소함유물이 투입되지 않는다는 사정은, 같은 무렵 환경관리공단의 측정결과에서도 적지 않은 양의 비소가 검출된 점, 시료채취 당일 다량의 무허가 폐수배출시설이 적발된 점, 원심이 채용한 증거가 원고가 제공한 일방적 자료에 기초한 점 등에 비추어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두 기관의 측정치 차이 역시, 환경관리공단의 측정이 단속 이틀 후부터 이루어진 점, 원고가 경각심을 가지고 비소함유물 사용을 급격히 줄인 결과일 수도 있는 점, 그해 8월 이후에는 비소가 거의 검출되지 않은 사정에서 보듯 비소 성분의 감축이 원고의 의지에 달려 있었던 점 등에 비추어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다만 당초 측정치가 원고의 시설 및 생산 규모에 비추어 상식적으로 상정할 수 없을 정도로 이례적이라면, 시료채취의 장소나 조건이 폐수 성분을 가장 잘 대표할 수 있도록 각종 규정에 적합하였는지, 실험분석을 위한 시설·장비·기술능력에 이상은 없었는지, 측정방법의 일반적 원칙이 준수되었는지에 관하여 의문이 제기될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그렇다면 원심으로서는 두 기관의 시료채취 장소·조건·자료·시설·장비·기술능력·측정방법을 대조하고, 객관적인 전문가의 분석을 받거나 보관 중인 시료에 대하여 전문기관의 재측정을 받아 봄으로써 그 의문점을 규명한 후 국가기관의 검사결과 채용 여부를 판단하였어야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그럼에도 이에 이르지 아니한 원심판결에는 심리를 다하지 아니하고 채증법칙을 위배한 위법이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또한 배출부과금의 조정사유는 ‘부과 후 오염물질의 배출상태가 당초의 측정 시와 달라졌다고 인정하여 다시 점검한 결과 배출량이 당초 측정한 배출량과 달라진 경우’로 규정되어 있고, 조정 시의 산정은 재점검일 이후의 기간에 한하여 다시 측정한 배출량을 기초로 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따라서 부과권자가 관계공무원에게 검사시킨 결과라고 볼 수 없는 환경관리공단의 검사 결과 다른 측정치가 있었다는 사실만으로는 조정사유에 해당한다고 볼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⑨ 그와 같은 다른 측정치가 있다는 자료를 부과권자에게 제시하거나 부과권자가 스스로 그 자료를 입수함으로써 배출상태가 달라졌다고 인정하여 재점검을 하였다든지, 그 자료가 제시되었음에도 부과권자가 합리적 이유 없이 재점검을 실시하지 않았다든지 하는 경우라야만 조정사유에 해당한다.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대법원은 이 점을 심리하지 아니한 원심판결 중 피고 패소부분을 파기하고 사건을 원심법원에 환송하였다.</w:t>
      </w: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b/>
          <w:color w:val="000000"/>
          <w:u w:val="single"/>
        </w:rPr>
        <w:t>① 국가기관이 측정한 오염물질농도의 신빙성을 합리적인 이유 없이 배척한 조치에는 심리미진의 위법이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배출부과금 부과권자가 관계공무원에게 검사시킨 결과라고 볼 수 없는 환경관리공단의 검사 결과 다른 측정치가 있었다는 사실만으로는 배출부과금의 조정사유에 해당한다고 볼 수 없고, 그와 같은 다른 측정치가 있다는 자료를 부과권자에게 제시하거나 부과권자가 스스로 그와 같은 자료를 입수함으로써 오염물질의 배출상태가 당초의 측정시와 달라졌다고 인정하여 그에 따라 재점검을 하였다든지, 그와 같은 자료가 부과권자에게 제시되었음에도 불구하고 부과권자가 합리적 이유 없이 재점검을 실시하지 않았다든지 하는 경우라야만 위 조정사유에 해당한다.</w:t>
      </w: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제8호</w:t>
            </w:r>
          </w:p>
        </w:tc>
        <w:tc>
          <w:tcPr>
            <w:tcW w:type="pct" w:w="3500"/>
          </w:tcPr>
          <w:p>
            <w:pPr>
              <w:autoSpaceDN w:val="0"/>
              <w:autoSpaceDE w:val="0"/>
            </w:pPr>
            <w:r>
              <w:rPr>
                <w:rFonts w:ascii="맑은 고딕" w:hAnsi="맑은 고딕" w:eastAsia="맑은 고딕" w:cs="맑은 고딕"/>
                <w:color w:val="000000"/>
                <w:sz w:val="19"/>
              </w:rPr>
              <w:t>“특정수질유해물질”이란 사람의 건강, 재산이나 동식물의 생육에 직접 또는 간접으로 위해를 줄 우려가 있는 수질오염물질로서 기후에너지환경부령으로 정하는 것을 말한다. 비소 및 그 화합물이 여기에 포함된다.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제32조 제1항</w:t>
            </w:r>
          </w:p>
        </w:tc>
        <w:tc>
          <w:tcPr>
            <w:tcW w:type="pct" w:w="3500"/>
          </w:tcPr>
          <w:p>
            <w:pPr>
              <w:autoSpaceDN w:val="0"/>
              <w:autoSpaceDE w:val="0"/>
            </w:pPr>
            <w:r>
              <w:rPr>
                <w:rFonts w:ascii="맑은 고딕" w:hAnsi="맑은 고딕" w:eastAsia="맑은 고딕" w:cs="맑은 고딕"/>
                <w:color w:val="000000"/>
                <w:sz w:val="19"/>
              </w:rPr>
              <w:t>폐수배출시설에서 배출되는 수질오염물질의 배출허용기준은 기후에너지환경부령으로 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제41조 제1항</w:t>
            </w:r>
          </w:p>
        </w:tc>
        <w:tc>
          <w:tcPr>
            <w:tcW w:type="pct" w:w="3500"/>
          </w:tcPr>
          <w:p>
            <w:pPr>
              <w:autoSpaceDN w:val="0"/>
              <w:autoSpaceDE w:val="0"/>
            </w:pPr>
            <w:r>
              <w:rPr>
                <w:rFonts w:ascii="맑은 고딕" w:hAnsi="맑은 고딕" w:eastAsia="맑은 고딕" w:cs="맑은 고딕"/>
                <w:color w:val="000000"/>
                <w:sz w:val="19"/>
              </w:rPr>
              <w:t>수질오염물질을 배출하는 사업자 등에게는 기본배출부과금과 초과배출부과금으로 구분하여 배출부과금을 부과·징수한다.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제54조 제1항 제2호</w:t>
            </w:r>
          </w:p>
        </w:tc>
        <w:tc>
          <w:tcPr>
            <w:tcW w:type="pct" w:w="3500"/>
          </w:tcPr>
          <w:p>
            <w:pPr>
              <w:autoSpaceDN w:val="0"/>
              <w:autoSpaceDE w:val="0"/>
            </w:pPr>
            <w:r>
              <w:rPr>
                <w:rFonts w:ascii="맑은 고딕" w:hAnsi="맑은 고딕" w:eastAsia="맑은 고딕" w:cs="맑은 고딕"/>
                <w:color w:val="000000"/>
                <w:sz w:val="19"/>
              </w:rPr>
              <w:t>초과배출부과금의 부과 후 수질오염물질의 배출상태가 처음 측정할 때와 달라졌다고 인정하여 다시 점검한 결과 배출량이 처음 측정한 배출량과 다른 경우에는 배출부과금을 다시 산정하여 조정한다.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제54조 제3항</w:t>
            </w:r>
          </w:p>
        </w:tc>
        <w:tc>
          <w:tcPr>
            <w:tcW w:type="pct" w:w="3500"/>
          </w:tcPr>
          <w:p>
            <w:pPr>
              <w:autoSpaceDN w:val="0"/>
              <w:autoSpaceDE w:val="0"/>
            </w:pPr>
            <w:r>
              <w:rPr>
                <w:rFonts w:ascii="맑은 고딕" w:hAnsi="맑은 고딕" w:eastAsia="맑은 고딕" w:cs="맑은 고딕"/>
                <w:color w:val="000000"/>
                <w:sz w:val="19"/>
              </w:rPr>
              <w:t>위 사유로 초과배출부과금을 조정하는 경우에는 재점검일 이후의 기간에 대하여만 다시 측정한 배출량을 기초로 초과배출부과금을 산정한다.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물환경보전법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제68조</w:t>
            </w:r>
          </w:p>
        </w:tc>
        <w:tc>
          <w:tcPr>
            <w:tcW w:type="pct" w:w="3500"/>
          </w:tcPr>
          <w:p>
            <w:pPr>
              <w:autoSpaceDN w:val="0"/>
              <w:autoSpaceDE w:val="0"/>
            </w:pPr>
            <w:r>
              <w:rPr>
                <w:rFonts w:ascii="맑은 고딕" w:hAnsi="맑은 고딕" w:eastAsia="맑은 고딕" w:cs="맑은 고딕"/>
                <w:color w:val="000000"/>
                <w:sz w:val="19"/>
              </w:rPr>
              <w:t>기후에너지환경부장관은 관계 공무원으로 하여금 배출시설과 방지시설을 검사하게 하거나 오염물질을 채취하게 할 수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https://www.law.go.kr/판례/(93누814)</w:t>
      </w:r>
    </w:p>
    <w:p>
      <w:pPr>
        <w:autoSpaceDN w:val="0"/>
        <w:autoSpaceDE w:val="0"/>
        <w:spacing w:before="80"/>
      </w:pPr>
      <w:r>
        <w:rPr>
          <w:rFonts w:ascii="맑은 고딕" w:hAnsi="맑은 고딕" w:eastAsia="맑은 고딕" w:cs="맑은 고딕"/>
          <w:color w:val="000000"/>
          <w:sz w:val="18"/>
        </w:rPr>
        <w:t>태그  #물환경보전법 #특정수질유해물질 #비소 #배출부과금 #오염도검사 #측정신빙성 #배출허용기준 #조정사유 #행정판례 #대법원판례 #1993년판례 #93누814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