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2"/>
        </w:rPr>
        <w:t>경매로 폐기물처리시설을 인수하면 방치폐기물 처리명령을 받을까요? (2021두31429)</w:t>
      </w:r>
    </w:p>
    <w:p>
      <w:pPr>
        <w:pStyle w:val="law1"/>
        <w:autoSpaceDE w:val="0"/>
        <w:autoSpaceDN w:val="0"/>
        <w:spacing w:after="160"/>
      </w:pPr>
      <w:r>
        <w:rPr>
          <w:rFonts w:ascii="맑은 고딕" w:hAnsi="맑은 고딕" w:eastAsia="맑은 고딕" w:cs="맑은 고딕"/>
          <w:color w:val="000000"/>
        </w:rPr>
        <w:t>대법원 2021두31429 (2021. 7. 15. 선고) · 방치폐기물처리명령취소</w:t>
      </w:r>
    </w:p>
    <w:p>
      <w:pPr>
        <w:autoSpaceDE w:val="0"/>
        <w:autoSpaceDN w:val="0"/>
        <w:spacing w:after="120"/>
      </w:pPr>
      <w:r>
        <w:rPr>
          <w:rFonts w:ascii="맑은 고딕" w:hAnsi="맑은 고딕" w:eastAsia="맑은 고딕" w:cs="맑은 고딕"/>
          <w:color w:val="000000"/>
        </w:rPr>
        <w:t>○ 경매로 폐기물처리시설을 인수한 사람에게 곧바로 방치폐기물 처리명령을 할 수 있는지가 문제된 사건입니다. 대법원은 승계신고가 수리되어야 처리명령 대상이 된다고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경매로 폐기물처리시설을 인수하면 바로 방치폐기물 처리명령 대상이 되나요?</w:t>
            </w:r>
          </w:p>
          <w:p>
            <w:pPr>
              <w:autoSpaceDE w:val="0"/>
              <w:autoSpaceDN w:val="0"/>
            </w:pPr>
            <w:r>
              <w:rPr>
                <w:rFonts w:ascii="맑은 고딕" w:hAnsi="맑은 고딕" w:eastAsia="맑은 고딕" w:cs="맑은 고딕"/>
                <w:b w:val="0"/>
                <w:color w:val="000000"/>
                <w:sz w:val="19"/>
              </w:rPr>
              <w:t>A. 아니요. 승계신고를 하여 허가관청이 이를 수리해야 권리·의무 승계 효과가 생기고, 그때 비로소 처리명령 대상이 됩니다.</w:t>
            </w:r>
          </w:p>
          <w:p>
            <w:pPr>
              <w:autoSpaceDE w:val="0"/>
              <w:autoSpaceDN w:val="0"/>
            </w:pPr>
          </w:p>
          <w:p>
            <w:pPr>
              <w:autoSpaceDE w:val="0"/>
              <w:autoSpaceDN w:val="0"/>
            </w:pPr>
            <w:r>
              <w:rPr>
                <w:rFonts w:ascii="맑은 고딕" w:hAnsi="맑은 고딕" w:eastAsia="맑은 고딕" w:cs="맑은 고딕"/>
                <w:b/>
                <w:color w:val="000000"/>
                <w:sz w:val="19"/>
              </w:rPr>
              <w:t>Q. 시설만 인수하고 승계신고를 하지 않았다면요?</w:t>
            </w:r>
          </w:p>
          <w:p>
            <w:pPr>
              <w:autoSpaceDE w:val="0"/>
              <w:autoSpaceDN w:val="0"/>
            </w:pPr>
            <w:r>
              <w:rPr>
                <w:rFonts w:ascii="맑은 고딕" w:hAnsi="맑은 고딕" w:eastAsia="맑은 고딕" w:cs="맑은 고딕"/>
                <w:b w:val="0"/>
                <w:color w:val="000000"/>
                <w:sz w:val="19"/>
              </w:rPr>
              <w:t>A. 승계신고·수리가 없으면 영업허가자 지위를 얻지 못하므로 방치폐기물 처리명령의 상대방이 될 수 없습니다.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900"/>
          </w:tcPr>
          <w:p>
            <w:pPr>
              <w:autoSpaceDE w:val="0"/>
              <w:autoSpaceDN w:val="0"/>
            </w:pPr>
            <w:r/>
            <w:r>
              <w:rPr>
                <w:rFonts w:ascii="맑은 고딕" w:hAnsi="맑은 고딕" w:eastAsia="맑은 고딕" w:cs="맑은 고딕"/>
                <w:b w:val="0"/>
                <w:color w:val="000000"/>
                <w:sz w:val="19"/>
              </w:rPr>
              <w:t>2021두31429</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선고일·법원</w:t>
            </w:r>
          </w:p>
        </w:tc>
        <w:tc>
          <w:tcPr>
            <w:tcW w:type="pct" w:w="3900"/>
          </w:tcPr>
          <w:p>
            <w:pPr>
              <w:autoSpaceDE w:val="0"/>
              <w:autoSpaceDN w:val="0"/>
            </w:pPr>
            <w:r/>
            <w:r>
              <w:rPr>
                <w:rFonts w:ascii="맑은 고딕" w:hAnsi="맑은 고딕" w:eastAsia="맑은 고딕" w:cs="맑은 고딕"/>
                <w:b w:val="0"/>
                <w:color w:val="000000"/>
                <w:sz w:val="19"/>
              </w:rPr>
              <w:t>2021. 7. 15. · 대법원</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사건종류</w:t>
            </w:r>
          </w:p>
        </w:tc>
        <w:tc>
          <w:tcPr>
            <w:tcW w:type="pct" w:w="3900"/>
          </w:tcPr>
          <w:p>
            <w:pPr>
              <w:autoSpaceDE w:val="0"/>
              <w:autoSpaceDN w:val="0"/>
            </w:pPr>
            <w:r/>
            <w:r>
              <w:rPr>
                <w:rFonts w:ascii="맑은 고딕" w:hAnsi="맑은 고딕" w:eastAsia="맑은 고딕" w:cs="맑은 고딕"/>
                <w:b w:val="0"/>
                <w:color w:val="000000"/>
                <w:sz w:val="19"/>
              </w:rPr>
              <w:t>일반행정 (방치폐기물처리명령취소)</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원심</w:t>
            </w:r>
          </w:p>
        </w:tc>
        <w:tc>
          <w:tcPr>
            <w:tcW w:type="pct" w:w="3900"/>
          </w:tcPr>
          <w:p>
            <w:pPr>
              <w:autoSpaceDE w:val="0"/>
              <w:autoSpaceDN w:val="0"/>
            </w:pPr>
            <w:r/>
            <w:r>
              <w:rPr>
                <w:rFonts w:ascii="맑은 고딕" w:hAnsi="맑은 고딕" w:eastAsia="맑은 고딕" w:cs="맑은 고딕"/>
                <w:b w:val="0"/>
                <w:color w:val="000000"/>
                <w:sz w:val="19"/>
              </w:rPr>
              <w:t>광주고법(전주) 2019누1772 (2020. 12. 23.)</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결과</w:t>
            </w:r>
          </w:p>
        </w:tc>
        <w:tc>
          <w:tcPr>
            <w:tcW w:type="pct" w:w="3900"/>
          </w:tcPr>
          <w:p>
            <w:pPr>
              <w:autoSpaceDE w:val="0"/>
              <w:autoSpaceDN w:val="0"/>
            </w:pPr>
            <w:r/>
            <w:r>
              <w:rPr>
                <w:rFonts w:ascii="맑은 고딕" w:hAnsi="맑은 고딕" w:eastAsia="맑은 고딕" w:cs="맑은 고딕"/>
                <w:b w:val="0"/>
                <w:color w:val="000000"/>
                <w:sz w:val="19"/>
              </w:rPr>
              <w:t>원심 파기환송 (원고에게 유리)</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(1) 폐기물처리업체가 허용보관량을 크게 초과해 폐기물을 방치하다 허가가 취소되고, 방치폐기물 처리명령을 이행하지 않았습니다.</w:t>
      </w:r>
    </w:p>
    <w:p>
      <w:pPr>
        <w:autoSpaceDE w:val="0"/>
        <w:autoSpaceDN w:val="0"/>
      </w:pPr>
    </w:p>
    <w:p>
      <w:pPr>
        <w:autoSpaceDE w:val="0"/>
        <w:autoSpaceDN w:val="0"/>
      </w:pPr>
      <w:r>
        <w:rPr>
          <w:rFonts w:ascii="맑은 고딕" w:hAnsi="맑은 고딕" w:eastAsia="맑은 고딕" w:cs="맑은 고딕"/>
          <w:color w:val="000000"/>
        </w:rPr>
        <w:t>(2) 원고는 경매로 그 업체의 폐기물처리시설(파쇄·분쇄 시설 등)을 경락받아 소유권을 이전받았습니다.</w:t>
      </w:r>
    </w:p>
    <w:p>
      <w:pPr>
        <w:autoSpaceDE w:val="0"/>
        <w:autoSpaceDN w:val="0"/>
      </w:pPr>
    </w:p>
    <w:p>
      <w:pPr>
        <w:autoSpaceDE w:val="0"/>
        <w:autoSpaceDN w:val="0"/>
      </w:pPr>
      <w:r>
        <w:rPr>
          <w:rFonts w:ascii="맑은 고딕" w:hAnsi="맑은 고딕" w:eastAsia="맑은 고딕" w:cs="맑은 고딕"/>
          <w:color w:val="000000"/>
        </w:rPr>
        <w:t>(3) 완주군수는 원고가 시설을 인수해 허가상 권리·의무를 승계했다며 방치폐기물 처리명령을 하였습니다.</w:t>
      </w: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경매로 폐기물처리시설만 인수한 원고가 ‘허가에 따른 권리·의무를 승계한 자’로서 방치폐기물 처리명령의 대상이 되는지가 쟁점입니다.</w:t>
      </w:r>
    </w:p>
    <w:p>
      <w:pPr>
        <w:autoSpaceDE w:val="0"/>
        <w:autoSpaceDN w:val="0"/>
      </w:pPr>
    </w:p>
    <w:p>
      <w:pPr>
        <w:pStyle w:val="2"/>
        <w:autoSpaceDE w:val="0"/>
        <w:autoSpaceDN w:val="0"/>
        <w:spacing w:before="80"/>
      </w:pPr>
      <w:r>
        <w:rPr>
          <w:rFonts w:ascii="맑은 고딕" w:hAnsi="맑은 고딕" w:eastAsia="맑은 고딕" w:cs="맑은 고딕"/>
          <w:color w:val="000000"/>
        </w:rPr>
        <w:t>4. 원심과 대법원의 판단</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구분</w:t>
            </w:r>
          </w:p>
        </w:tc>
        <w:tc>
          <w:tcPr>
            <w:tcW w:type="pct" w:w="39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판단</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원심</w:t>
            </w:r>
          </w:p>
        </w:tc>
        <w:tc>
          <w:tcPr>
            <w:tcW w:type="pct" w:w="3900"/>
          </w:tcPr>
          <w:p>
            <w:pPr>
              <w:autoSpaceDE w:val="0"/>
              <w:autoSpaceDN w:val="0"/>
            </w:pPr>
            <w:r/>
            <w:r>
              <w:rPr>
                <w:rFonts w:ascii="맑은 고딕" w:hAnsi="맑은 고딕" w:eastAsia="맑은 고딕" w:cs="맑은 고딕"/>
                <w:b w:val="0"/>
                <w:color w:val="000000"/>
                <w:sz w:val="19"/>
              </w:rPr>
              <w:t>원고가 경매로 시설을 인수해 허가에 따른 권리·의무를 승계하였으므로 처리명령은 적법.</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대법원</w:t>
            </w:r>
          </w:p>
        </w:tc>
        <w:tc>
          <w:tcPr>
            <w:tcW w:type="pct" w:w="3900"/>
          </w:tcPr>
          <w:p>
            <w:pPr>
              <w:autoSpaceDE w:val="0"/>
              <w:autoSpaceDN w:val="0"/>
            </w:pPr>
            <w:r/>
            <w:r>
              <w:rPr>
                <w:rFonts w:ascii="맑은 고딕" w:hAnsi="맑은 고딕" w:eastAsia="맑은 고딕" w:cs="맑은 고딕"/>
                <w:b w:val="0"/>
                <w:color w:val="000000"/>
                <w:sz w:val="19"/>
              </w:rPr>
              <w:t>폐기물처리업 허가는 대물적·대인적 요소가 결합된 혼합적 허가이고, 승계신고 수리는 영업허가자 변경이라는 법률효과를 낳는 행위이다. 제33조 제2항의 승계효과와 제40조 제3항의 처리명령 대상은 모두 ‘승계신고가 수리되어 영업허가자 지위를 얻은 자’를 의미한다. 원고는 승계신고를 하지 않았고 폐기물처리업도 하지 않으므로 처리명령 대상이 아니다 → 파기환송.</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5. 판결 요지</w:t>
      </w:r>
    </w:p>
    <w:p>
      <w:pPr>
        <w:autoSpaceDE w:val="0"/>
        <w:autoSpaceDN w:val="0"/>
      </w:pPr>
      <w:r>
        <w:rPr>
          <w:rFonts w:ascii="맑은 고딕" w:hAnsi="맑은 고딕" w:eastAsia="맑은 고딕" w:cs="맑은 고딕"/>
          <w:color w:val="000000"/>
          <w:u w:val="single"/>
        </w:rPr>
        <w:t>① 폐기물처리업 허가는 시설·장비 등 대물적 요소에 결격사유 등 대인적 요소가 결합된 혼합적 허가입니다.</w:t>
      </w:r>
    </w:p>
    <w:p>
      <w:pPr>
        <w:autoSpaceDE w:val="0"/>
        <w:autoSpaceDN w:val="0"/>
      </w:pPr>
    </w:p>
    <w:p>
      <w:pPr>
        <w:autoSpaceDE w:val="0"/>
        <w:autoSpaceDN w:val="0"/>
      </w:pPr>
      <w:r>
        <w:rPr>
          <w:rFonts w:ascii="맑은 고딕" w:hAnsi="맑은 고딕" w:eastAsia="맑은 고딕" w:cs="맑은 고딕"/>
          <w:color w:val="000000"/>
          <w:u w:val="single"/>
        </w:rPr>
        <w:t>② 경매 인수자의 권리·의무 승계 효과는 승계신고를 하여 허가관청이 수리한 때 발생하며, 그 수리는 영업허가자 변경이라는 법률효과를 발생시킵니다.</w:t>
      </w:r>
    </w:p>
    <w:p>
      <w:pPr>
        <w:autoSpaceDE w:val="0"/>
        <w:autoSpaceDN w:val="0"/>
      </w:pPr>
    </w:p>
    <w:p>
      <w:pPr>
        <w:autoSpaceDE w:val="0"/>
        <w:autoSpaceDN w:val="0"/>
      </w:pPr>
      <w:r>
        <w:rPr>
          <w:rFonts w:ascii="맑은 고딕" w:hAnsi="맑은 고딕" w:eastAsia="맑은 고딕" w:cs="맑은 고딕"/>
          <w:b/>
          <w:color w:val="000000"/>
          <w:u w:val="single"/>
        </w:rPr>
        <w:t>③ 방치폐기물 처리명령을 받을 ‘권리·의무를 승계한 자’도 승계신고가 수리되어 영업허가자 지위를 얻은 자를 의미하므로, 신고·수리가 없으면 처리명령 대상이 아닙니다.</w:t>
      </w:r>
    </w:p>
    <w:p>
      <w:pPr>
        <w:autoSpaceDE w:val="0"/>
        <w:autoSpaceDN w:val="0"/>
      </w:pPr>
    </w:p>
    <w:p>
      <w:pPr>
        <w:pStyle w:val="2"/>
        <w:autoSpaceDE w:val="0"/>
        <w:autoSpaceDN w:val="0"/>
        <w:spacing w:before="200"/>
      </w:pPr>
      <w:r>
        <w:rPr>
          <w:rFonts w:ascii="맑은 고딕" w:hAnsi="맑은 고딕" w:eastAsia="맑은 고딕" w:cs="맑은 고딕"/>
          <w:color w:val="000000"/>
        </w:rPr>
        <w:t>적용 법령 조항·문구</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제2항</w:t>
            </w:r>
          </w:p>
        </w:tc>
        <w:tc>
          <w:tcPr>
            <w:tcW w:type="pct" w:w="3600"/>
          </w:tcPr>
          <w:p>
            <w:pPr>
              <w:autoSpaceDE w:val="0"/>
              <w:autoSpaceDN w:val="0"/>
            </w:pPr>
            <w:r/>
            <w:r>
              <w:rPr>
                <w:rFonts w:ascii="맑은 고딕" w:hAnsi="맑은 고딕" w:eastAsia="맑은 고딕" w:cs="맑은 고딕"/>
                <w:b w:val="0"/>
                <w:color w:val="000000"/>
                <w:sz w:val="19"/>
              </w:rPr>
              <w:t xml:space="preserve">경매 등으로 폐기물처리업자로부터 폐기물처리시설 등을 인수한 자는 </w:t>
            </w:r>
            <w:r>
              <w:rPr>
                <w:rFonts w:ascii="맑은 고딕" w:hAnsi="맑은 고딕" w:eastAsia="맑은 고딕" w:cs="맑은 고딕"/>
                <w:b w:val="0"/>
                <w:color w:val="000000"/>
                <w:sz w:val="19"/>
                <w:u w:val="single"/>
              </w:rPr>
              <w:t>허가에 따른 권리·의무를 승계</w:t>
            </w:r>
            <w:r>
              <w:rPr>
                <w:rFonts w:ascii="맑은 고딕" w:hAnsi="맑은 고딕" w:eastAsia="맑은 고딕" w:cs="맑은 고딕"/>
                <w:b w:val="0"/>
                <w:color w:val="000000"/>
                <w:sz w:val="19"/>
              </w:rPr>
              <w:t>하고, 종전 폐기물처리업자에 대한 허가는 그 효력을 잃는다.</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제3항</w:t>
            </w:r>
          </w:p>
        </w:tc>
        <w:tc>
          <w:tcPr>
            <w:tcW w:type="pct" w:w="3600"/>
          </w:tcPr>
          <w:p>
            <w:pPr>
              <w:autoSpaceDE w:val="0"/>
              <w:autoSpaceDN w:val="0"/>
            </w:pPr>
            <w:r/>
            <w:r>
              <w:rPr>
                <w:rFonts w:ascii="맑은 고딕" w:hAnsi="맑은 고딕" w:eastAsia="맑은 고딕" w:cs="맑은 고딕"/>
                <w:b w:val="0"/>
                <w:color w:val="000000"/>
                <w:sz w:val="19"/>
              </w:rPr>
              <w:t xml:space="preserve">제2항에 따라 권리·의무를 승계한 자는 </w:t>
            </w:r>
            <w:r>
              <w:rPr>
                <w:rFonts w:ascii="맑은 고딕" w:hAnsi="맑은 고딕" w:eastAsia="맑은 고딕" w:cs="맑은 고딕"/>
                <w:b w:val="0"/>
                <w:color w:val="000000"/>
                <w:sz w:val="19"/>
                <w:u w:val="single"/>
              </w:rPr>
              <w:t>환경부장관 또는 시·도지사에게 신고</w:t>
            </w:r>
            <w:r>
              <w:rPr>
                <w:rFonts w:ascii="맑은 고딕" w:hAnsi="맑은 고딕" w:eastAsia="맑은 고딕" w:cs="맑은 고딕"/>
                <w:b w:val="0"/>
                <w:color w:val="000000"/>
                <w:sz w:val="19"/>
              </w:rPr>
              <w:t xml:space="preserve">하여야 한다. 이 승계신고 수리는 </w:t>
            </w:r>
            <w:r>
              <w:rPr>
                <w:rFonts w:ascii="맑은 고딕" w:hAnsi="맑은 고딕" w:eastAsia="맑은 고딕" w:cs="맑은 고딕"/>
                <w:b w:val="0"/>
                <w:color w:val="000000"/>
                <w:sz w:val="19"/>
                <w:u w:val="single"/>
              </w:rPr>
              <w:t>영업허가자 변경이라는 법률효과를 발생시키는 행위</w:t>
            </w:r>
            <w:r>
              <w:rPr>
                <w:rFonts w:ascii="맑은 고딕" w:hAnsi="맑은 고딕" w:eastAsia="맑은 고딕" w:cs="맑은 고딕"/>
                <w:b w:val="0"/>
                <w:color w:val="000000"/>
                <w:sz w:val="19"/>
              </w:rPr>
              <w:t>이다.</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제40조 제3항</w:t>
            </w:r>
          </w:p>
        </w:tc>
        <w:tc>
          <w:tcPr>
            <w:tcW w:type="pct" w:w="3600"/>
          </w:tcPr>
          <w:p>
            <w:pPr>
              <w:autoSpaceDE w:val="0"/>
              <w:autoSpaceDN w:val="0"/>
            </w:pPr>
            <w:r/>
            <w:r>
              <w:rPr>
                <w:rFonts w:ascii="맑은 고딕" w:hAnsi="맑은 고딕" w:eastAsia="맑은 고딕" w:cs="맑은 고딕"/>
                <w:b w:val="0"/>
                <w:color w:val="000000"/>
                <w:sz w:val="19"/>
                <w:u w:val="single"/>
              </w:rPr>
              <w:t>방치폐기물 처리명령을 할 수 있는 ‘권리·의무를 승계한 자’는 승계신고가 수리되어 영업허가자 지위를 얻은 자</w:t>
            </w:r>
            <w:r>
              <w:rPr>
                <w:rFonts w:ascii="맑은 고딕" w:hAnsi="맑은 고딕" w:eastAsia="맑은 고딕" w:cs="맑은 고딕"/>
                <w:b w:val="0"/>
                <w:color w:val="000000"/>
                <w:sz w:val="19"/>
              </w:rPr>
              <w:t>를 의미한다.</w:t>
            </w:r>
          </w:p>
        </w:tc>
      </w:tr>
    </w:tbl>
    <w:p>
      <w:pPr>
        <w:pStyle w:val="2"/>
      </w:pPr>
      <w:r>
        <w:t>핵심 요약</w:t>
      </w:r>
    </w:p>
    <w:p>
      <w:pPr/>
      <w:r>
        <w:t>경매로 폐기물처리시설만 낙찰받았다고 해서 곧바로 방치폐기물 처리명령의 대상이 되는 것은 아닙니다.</w:t>
      </w:r>
    </w:p>
    <w:p>
      <w:pPr/>
      <w:r>
        <w:t>승계신고를 하고 허가관청이 이를 수리해 영업허가자 지위를 얻은 때에야 비로소 권리의무를 승계한 자가 되어 처리명령을 받을 수 있습니다.</w:t>
      </w:r>
    </w:p>
    <w:p>
      <w:pPr/>
      <w:r>
        <w:t>시설을 인수했더라도 승계신고 수리 전이라면 처리명령을 받지 않으므로, 인수 시점과 신고 수리 여부를 반드시 확인해야 합니다.</w:t>
      </w:r>
    </w:p>
    <w:p>
      <w:pPr>
        <w:pStyle w:val="note"/>
        <w:autoSpaceDE w:val="0"/>
        <w:autoSpaceDN w:val="0"/>
        <w:spacing w:before="80"/>
      </w:pPr>
      <w:r>
        <w:rPr>
          <w:rFonts w:ascii="맑은 고딕" w:hAnsi="맑은 고딕" w:eastAsia="맑은 고딕" w:cs="맑은 고딕"/>
          <w:color w:val="000000"/>
        </w:rPr>
        <w:t>※ 위 조문은 판결에 적용된 구 폐기물관리법(2017. 4. 18. 개정 전) 기준입니다.</w:t>
      </w:r>
    </w:p>
    <w:p>
      <w:pPr>
        <w:pStyle w:val="note"/>
        <w:autoSpaceDE w:val="0"/>
        <w:autoSpaceDN w:val="0"/>
        <w:spacing w:before="80"/>
      </w:pPr>
      <w:r>
        <w:rPr>
          <w:rFonts w:ascii="맑은 고딕" w:hAnsi="맑은 고딕" w:eastAsia="맑은 고딕" w:cs="맑은 고딕"/>
          <w:color w:val="000000"/>
        </w:rPr>
        <w:t>※ 본 정리는 판결문을 요약한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https://www.law.go.kr/판례/(2021두31429)</w:t>
      </w:r>
    </w:p>
    <w:p>
      <w:pPr>
        <w:autoSpaceDE w:val="0"/>
        <w:autoSpaceDN w:val="0"/>
        <w:spacing w:before="80"/>
      </w:pPr>
      <w:r>
        <w:rPr>
          <w:rFonts w:ascii="맑은 고딕" w:hAnsi="맑은 고딕" w:eastAsia="맑은 고딕" w:cs="맑은 고딕"/>
          <w:color w:val="000000"/>
          <w:sz w:val="18"/>
        </w:rPr>
        <w:t>태그  #방치폐기물 #처리명령 #권리의무승계 #승계신고 #경매 #폐기물처리시설 #폐기물처리업허가 #대법원판례 #2021두31429 #인허가서대리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