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과태료 재판, 처분사유와 동일한 사실관계 안에서만 판단합니다. (2012마1163)</w:t>
      </w:r>
    </w:p>
    <w:p>
      <w:pPr>
        <w:pStyle w:val="law1"/>
        <w:autoSpaceDE w:val="0"/>
        <w:autoSpaceDN w:val="0"/>
        <w:spacing w:after="160"/>
      </w:pPr>
      <w:r>
        <w:rPr>
          <w:rFonts w:ascii="맑은 고딕" w:hAnsi="맑은 고딕" w:eastAsia="맑은 고딕" w:cs="맑은 고딕"/>
          <w:color w:val="000000"/>
        </w:rPr>
        <w:t>대법원 2012마1163 (2012.10.19 선고)</w:t>
      </w:r>
    </w:p>
    <w:p>
      <w:pPr>
        <w:autoSpaceDE w:val="0"/>
        <w:autoSpaceDN w:val="0"/>
        <w:spacing w:after="120"/>
      </w:pPr>
      <w:r>
        <w:rPr>
          <w:rFonts w:ascii="맑은 고딕" w:hAnsi="맑은 고딕" w:eastAsia="맑은 고딕" w:cs="맑은 고딕"/>
          <w:color w:val="000000"/>
        </w:rPr>
        <w:t>○ 폐기물관리법 위반 과태료재판에서 법원이 심판할 수 있는 범위가 문제된 사건입니다. 대법원은 행정청의 과태료부과처분 사유와 기본적 사실관계에서 동일성이 인정되는 한도 내에서만 과태료를 부과할 수 있다고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과태료재판에서 법원은 처분사유와 다른 사유로도 과태료를 부과할 수 있나요?</w:t>
            </w:r>
          </w:p>
          <w:p>
            <w:pPr>
              <w:autoSpaceDE w:val="0"/>
              <w:autoSpaceDN w:val="0"/>
            </w:pPr>
            <w:r>
              <w:rPr>
                <w:rFonts w:ascii="맑은 고딕" w:hAnsi="맑은 고딕" w:eastAsia="맑은 고딕" w:cs="맑은 고딕"/>
                <w:b w:val="0"/>
                <w:color w:val="000000"/>
                <w:sz w:val="19"/>
              </w:rPr>
              <w:t>A. 아니요. 직권으로 증거조사를 할 수는 있으나, 행정청의 과태료부과처분 사유와 기본적 사실관계에서 동일성이 인정되는 한도 내에서만 과태료를 부과할 수 있습니다.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2012마1163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2012.10.19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사실관계에 있어서 동일성이 인정되는 한도 내에서만 과태료를 부과할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기록에 의하면, 행정청인 의령군수의 과태료부과처분사유는 재항고인의 사업장에 야적되어 있는 폐기물인 고철을 구 폐기물관리법(2010. 7. 23. 법률 제10389호로 개정되기 전의 것) 제13조 및 같은 법 시행규칙 제14조 별표 5의 규정에 따른 보관 기준과 방법에 따라 보관하지 않았다는 것인데 반해, 원심은 강우로 인하여 재항고인의 사업시설인 철제선반, 컨베이어 등에서 녹슨 물(이하 ‘침출수’라고 한다)이 누출되었다고 하면서 폐기물인 침출수 자체를 위 법령에 따른 보관 기준과 방법에 따라 보관하지 않은 것이 인정된다는 이유로 이 사건 과태료 부과가 정당하다고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그런데 이러한 행정청의 과태료부과처분사유와</w:t>
      </w: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과태료재판의 심판 범위(=행정청의 과태료부과처분사유와 기본적 사실관계에서 동일성이 인정되는 한도 내)</w:t>
      </w: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판단을 비교하여 보면, 단지 폐기물을 위 법령에 따른 보관 기준과 방법에 따라 보관하지 않았다는 점에서만 동일할 뿐, 보관 기준과 방법의 객체가 되는 폐기물이 고철과 침출수로 서로 달라 기본적 사실관계가 동일하지 않다고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그렇다면 원심으로서는 행정청의 과태료부과처분사유에 기초하여 고철이 폐기물인지와 폐기물이라면 위 법령의 보관 기준과 방법에 따라 보관하였는지에 관하여 심리하였어야 함에도 불구하고 이를 심리하지 아니한 채, 기본적 동일성이 인정되지 않는 다른 사실관계에 기초하여 판단함으로써 과태료재판의 심판 범위에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그러므로 원심결정을 파기하고, 사건을 다시 심리·판단하게 하기 위하여 원심법원에 환송하기로 하여, 관여 대법관의 일치된 의견으로</w:t>
      </w: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b/>
          <w:color w:val="000000"/>
          <w:u w:val="single"/>
        </w:rPr>
        <w:t>과태료재판의 경우, 법원으로서는 기록상 현출되어 있는 사항에 관하여 직권으로 증거조사를 하고 이를 기초로 하여 판단할 수 있는 것이나, 그 경우 행정청의 과태료부과처분사유와 기본적 사실관계에서 동일성이 인정되는 한도 내에서만 과태료를 부과할 수 있다.</w:t>
      </w: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민사소송법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제224조 제2항</w:t>
            </w:r>
          </w:p>
        </w:tc>
        <w:tc>
          <w:tcPr>
            <w:tcW w:type="pct" w:w="3500"/>
          </w:tcPr>
          <w:p>
            <w:pPr>
              <w:autoSpaceDE w:val="0"/>
              <w:autoSpaceDN w:val="0"/>
            </w:pPr>
            <w:r/>
            <w:r>
              <w:rPr>
                <w:rFonts w:ascii="맑은 고딕" w:hAnsi="맑은 고딕" w:eastAsia="맑은 고딕" w:cs="맑은 고딕"/>
                <w:b w:val="0"/>
                <w:color w:val="000000"/>
                <w:sz w:val="19"/>
              </w:rPr>
              <w:t>②이 법에 따른 과태료재판에는 비송사건절차법 제248조 및 제250조 가운데 검사에 관한 규정을 적용하지 아니한다.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비송사건절차법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제248조</w:t>
            </w:r>
          </w:p>
        </w:tc>
        <w:tc>
          <w:tcPr>
            <w:tcW w:type="pct" w:w="3500"/>
          </w:tcPr>
          <w:p>
            <w:pPr>
              <w:autoSpaceDE w:val="0"/>
              <w:autoSpaceDN w:val="0"/>
            </w:pPr>
            <w:r/>
            <w:r>
              <w:rPr>
                <w:rFonts w:ascii="맑은 고딕" w:hAnsi="맑은 고딕" w:eastAsia="맑은 고딕" w:cs="맑은 고딕"/>
                <w:b w:val="0"/>
                <w:color w:val="000000"/>
                <w:sz w:val="19"/>
              </w:rPr>
              <w:t>① 과태료재판은 이유를 붙인 결정으로써 하여야 한다. ② 법원은 재판을 하기 전에 당사자의 진술을 듣고 검사의 의견을 구하여야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비송사건절차법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제250조</w:t>
            </w:r>
          </w:p>
        </w:tc>
        <w:tc>
          <w:tcPr>
            <w:tcW w:type="pct" w:w="3500"/>
          </w:tcPr>
          <w:p>
            <w:pPr>
              <w:autoSpaceDE w:val="0"/>
              <w:autoSpaceDN w:val="0"/>
            </w:pPr>
            <w:r/>
            <w:r>
              <w:rPr>
                <w:rFonts w:ascii="맑은 고딕" w:hAnsi="맑은 고딕" w:eastAsia="맑은 고딕" w:cs="맑은 고딕"/>
                <w:b w:val="0"/>
                <w:color w:val="000000"/>
                <w:sz w:val="19"/>
              </w:rPr>
              <w:t>① 법원은 타당하다고 인정할 때에는 당사자의 진술을 듣지 아니하고 과태료재판을 할 수 있다. ② 당사자와 검사는 제1항에 따른 재판의 고지를 받은 날부터 1주일 내에 이의신청을 할 수 있다.</w:t>
            </w:r>
          </w:p>
        </w:tc>
      </w:tr>
    </w:tbl>
    <w:p>
      <w:pPr>
        <w:pStyle w:val="2"/>
      </w:pPr>
      <w:r>
        <w:t>핵심 요약</w:t>
      </w:r>
    </w:p>
    <w:p>
      <w:pPr/>
      <w:r>
        <w:t>행정청이 부과한 폐기물 과태료를 법원이 재판할 때는 부과처분 사유와 기본적으로 같은 사실관계 안에서만 판단할 수 있습니다.</w:t>
      </w:r>
    </w:p>
    <w:p>
      <w:pPr/>
      <w:r>
        <w:t>이 사건은 처분사유가 '고철 보관 위반'이었는데 원심이 '침출수 보관 위반'으로 판단해, 대상 폐기물이 달라 사실관계 동일성이 없다는 이유로 파기환송되었습니다.</w:t>
      </w:r>
    </w:p>
    <w:p>
      <w:pPr/>
      <w:r>
        <w:t>실무상 과태료 부과서에 위반 대상과 사유를 정확히 특정해야 하며, 재판 단계에서 처분과 다른 사실로 위반을 인정받기는 어렵습니다.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https://www.law.go.kr/판례/(2012마1163)</w:t>
      </w:r>
    </w:p>
    <w:p>
      <w:pPr>
        <w:autoSpaceDE w:val="0"/>
        <w:autoSpaceDN w:val="0"/>
        <w:spacing w:before="80"/>
      </w:pPr>
      <w:r>
        <w:rPr>
          <w:rFonts w:ascii="맑은 고딕" w:hAnsi="맑은 고딕" w:eastAsia="맑은 고딕" w:cs="맑은 고딕"/>
          <w:color w:val="000000"/>
          <w:sz w:val="18"/>
        </w:rPr>
        <w:t>태그  #폐기물관리법판례 #민사판례 #대법원판례 #2012년판례 #2012마1163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