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 (2013두8431)</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u w:val="single"/>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사실관계를 위 법리에 비추어 보면,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u w:val="single"/>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u w:val="single"/>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E w:val="0"/>
              <w:autoSpaceDN w:val="0"/>
            </w:pPr>
            <w:r/>
            <w:r>
              <w:rPr>
                <w:rFonts w:ascii="맑은 고딕" w:hAnsi="맑은 고딕" w:eastAsia="맑은 고딕" w:cs="맑은 고딕"/>
                <w:b w:val="0"/>
                <w:color w:val="000000"/>
                <w:sz w:val="19"/>
              </w:rPr>
              <w:t>제5조 또는 제6조제1항에 따라 폐기물처리시설을 설치하여야 하는 자는 미리 그 시설의 부지 확보계획을 다음 각 호의 계획에 포함시키는 등의 조치를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제4항</w:t>
            </w:r>
          </w:p>
        </w:tc>
        <w:tc>
          <w:tcPr>
            <w:tcW w:type="pct" w:w="3500"/>
          </w:tcPr>
          <w:p>
            <w:pPr>
              <w:autoSpaceDE w:val="0"/>
              <w:autoSpaceDN w:val="0"/>
            </w:pPr>
            <w:r/>
            <w:r>
              <w:rPr>
                <w:rFonts w:ascii="맑은 고딕" w:hAnsi="맑은 고딕" w:eastAsia="맑은 고딕" w:cs="맑은 고딕"/>
                <w:b w:val="0"/>
                <w:color w:val="000000"/>
                <w:sz w:val="19"/>
              </w:rPr>
              <w:t>④ 특별자치시장ㆍ특별자치도지사ㆍ시장ㆍ군수ㆍ구청장은 제2항에 따라 설치 비용에 해당하는 금액을 내야 할 자가 납부기한까지 내지 아니하면 지방세 체납처분의 예에 따라 그 금액을 징수한다.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제2항</w:t>
            </w:r>
          </w:p>
        </w:tc>
        <w:tc>
          <w:tcPr>
            <w:tcW w:type="pct" w:w="3500"/>
          </w:tcPr>
          <w:p>
            <w:pPr>
              <w:autoSpaceDE w:val="0"/>
              <w:autoSpaceDN w:val="0"/>
            </w:pPr>
            <w:r/>
            <w:r>
              <w:rPr>
                <w:rFonts w:ascii="맑은 고딕" w:hAnsi="맑은 고딕" w:eastAsia="맑은 고딕" w:cs="맑은 고딕"/>
                <w:b w:val="0"/>
                <w:color w:val="000000"/>
                <w:sz w:val="19"/>
              </w:rPr>
              <w:t>② 제1항에 따라 공급하는 택지의 용도, 공급의 절차ㆍ방법 및 대상자, 그 밖에 공급조건에 관한 사항은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제7항</w:t>
            </w:r>
          </w:p>
        </w:tc>
        <w:tc>
          <w:tcPr>
            <w:tcW w:type="pct" w:w="3500"/>
          </w:tcPr>
          <w:p>
            <w:pPr>
              <w:autoSpaceDE w:val="0"/>
              <w:autoSpaceDN w:val="0"/>
            </w:pPr>
            <w:r/>
            <w:r>
              <w:rPr>
                <w:rFonts w:ascii="맑은 고딕" w:hAnsi="맑은 고딕" w:eastAsia="맑은 고딕" w:cs="맑은 고딕"/>
                <w:b w:val="0"/>
                <w:color w:val="000000"/>
                <w:sz w:val="19"/>
              </w:rPr>
              <w:t>⑦ 시행자는 제3항부터 제5항까지의 규정에도 불구하고 다음 각 호의 어느 하나에 해당하는 경우에는 수의계약의 방법으로 공급할 수 있다. 다만, 제4호에 따라 택지를 공급할 때 택지의 공급신청량이 개발계획에서 계획된 수량을 초과하는 경우에는 추첨의 방법으로 공급하며, 「개발제한구역의 지정 및 관리에 관한 특별조치법」에 따른 개발제한구역(이하 "개발제한구역"이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제6호 목</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제11조의3에 따른 폐기물처리시설 설치계획이 공고된 날부터 대통령령으로 정하는 기간에 그 폐기물처리시설의 설치ㆍ운영으로 인하여 환경상 영향을 받게 되는 주변지역(이하 "주변영향지역"이라 한다)을 결정ㆍ고시하여야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폐기물처리시설 설치기관은 제1항에 따라 주변영향지역을 결정ㆍ고시하려면 제17조의2에 따라 구성된 주민지원협의체(이하 "지원협의체"라 한다)가 선정한 전문연구기관으로 하여금 환경상 영향을 조사하게 하고, 그 결과를 수렴하여야 한다. 다만, 지원협의체가 주변지역의 환경상 영향조사가 필요하지 아니하다고 인정하는 경우에는 해당 조사를 생략하거나 관계 전문가의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제1항</w:t>
            </w:r>
          </w:p>
        </w:tc>
        <w:tc>
          <w:tcPr>
            <w:tcW w:type="pct" w:w="3500"/>
          </w:tcPr>
          <w:p>
            <w:pPr>
              <w:autoSpaceDE w:val="0"/>
              <w:autoSpaceDN w:val="0"/>
            </w:pPr>
            <w:r/>
            <w:r>
              <w:rPr>
                <w:rFonts w:ascii="맑은 고딕" w:hAnsi="맑은 고딕" w:eastAsia="맑은 고딕" w:cs="맑은 고딕"/>
                <w:b w:val="0"/>
                <w:color w:val="000000"/>
                <w:sz w:val="19"/>
              </w:rPr>
              <w:t>① 지원협의체는 해당 폐기물처리시설 소재지의 특별자치시ㆍ특별자치도ㆍ시ㆍ군ㆍ구의회 의원, 주민대표 및 주민대표가 추천한 전문가 가운데 폐기물처리시설 설치기관이 관할 특별자치시장ㆍ특별자치도지사ㆍ시장ㆍ군수ㆍ구청장 및 특별자치시ㆍ특별자치도ㆍ시ㆍ군ㆍ구의회와 협의하여 구성하되, 다음 각 호의 어느 하나에 해당하는 자는 지원협의체의 구성원이 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제3항</w:t>
            </w:r>
          </w:p>
        </w:tc>
        <w:tc>
          <w:tcPr>
            <w:tcW w:type="pct" w:w="3500"/>
          </w:tcPr>
          <w:p>
            <w:pPr>
              <w:autoSpaceDE w:val="0"/>
              <w:autoSpaceDN w:val="0"/>
            </w:pPr>
            <w:r/>
            <w:r>
              <w:rPr>
                <w:rFonts w:ascii="맑은 고딕" w:hAnsi="맑은 고딕" w:eastAsia="맑은 고딕" w:cs="맑은 고딕"/>
                <w:b w:val="0"/>
                <w:color w:val="000000"/>
                <w:sz w:val="19"/>
              </w:rPr>
              <w:t>③ 지원협의체의 세부적인 구성방법은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 [별표 2]</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2"/>
      </w:pPr>
      <w:r>
        <w:t>핵심 요약</w:t>
      </w:r>
    </w:p>
    <w:p>
      <w:pPr/>
      <w:r>
        <w:t>공동주택·택지 개발자가 처리시설을 직접 설치하는 대신 설치부담금을 낼 때, 시설부지가 아직 정해지지 않았다면 사업지구 안에 직접 설치할 경우의 비용에 맞춰 부담금을 산정합니다.</w:t>
      </w:r>
    </w:p>
    <w:p>
      <w:pPr/>
      <w:r>
        <w:t>부지매입비의 'm2당 조성원가'는 해당 택지개발지구의 택지조성원가를 의미합니다.</w:t>
      </w:r>
    </w:p>
    <w:p>
      <w:pPr/>
      <w:r>
        <w:t>또한 주변영향지역에 주민이 거주하지 않더라도 주민지원기금 출연의무 자체가 없어지는 것은 아니라고 판단했습니다.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