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pPr>
        <w:autoSpaceDE w:val="0"/>
        <w:autoSpaceDN w:val="0"/>
        <w:spacing w:after="60"/>
      </w:pPr>
      <w:r>
        <w:rPr>
          <w:rFonts w:ascii="맑은 고딕" w:hAnsi="맑은 고딕" w:eastAsia="맑은 고딕" w:cs="맑은 고딕"/>
          <w:b/>
          <w:color w:val="000000"/>
          <w:sz w:val="30"/>
        </w:rPr>
        <w:t>설치비용 부담금 조례가 주민편익시설을 포함하면 위임 한계를 벗어나 무효입니다. (2016두35229)</w:t>
      </w:r>
    </w:p>
    <w:p>
      <w:pPr>
        <w:pStyle w:val="law1"/>
        <w:autoSpaceDE w:val="0"/>
        <w:autoSpaceDN w:val="0"/>
        <w:spacing w:after="160"/>
      </w:pPr>
      <w:r>
        <w:rPr>
          <w:rFonts w:ascii="맑은 고딕" w:hAnsi="맑은 고딕" w:eastAsia="맑은 고딕" w:cs="맑은 고딕"/>
          <w:color w:val="000000"/>
        </w:rPr>
        <w:t>대법원 2016두35229 (2018.11.29 선고)</w:t>
      </w:r>
    </w:p>
    <w:p>
      <w:pPr>
        <w:autoSpaceDE w:val="0"/>
        <w:autoSpaceDN w:val="0"/>
        <w:spacing w:after="120"/>
      </w:pPr>
      <w:r>
        <w:rPr>
          <w:rFonts w:ascii="맑은 고딕" w:hAnsi="맑은 고딕" w:eastAsia="맑은 고딕" w:cs="맑은 고딕"/>
          <w:color w:val="000000"/>
        </w:rPr>
        <w:t>○ 설치비용 산정 부지면적에 주민편익시설 면적을 포함시킨 조례의 효력이 문제된 사건입니다. 대법원은 주민편익시설은 포함 대상이 아니며, 이를 포함시킨 조례는 위임 한계를 벗어나 무효라고 보았습니다.</w:t>
      </w:r>
    </w:p>
    <w:p>
      <w:pPr>
        <w:autoSpaceDE w:val="0"/>
        <w:autoSpaceDN w:val="0"/>
      </w:pP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9026"/>
      </w:tblGrid>
      <w:tr>
        <w:tc>
          <w:tcPr>
            <w:tcW w:type="pct" w:w="50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21"/>
              </w:rPr>
              <w:t>※ 간단요약</w:t>
            </w:r>
          </w:p>
        </w:tc>
      </w:tr>
      <w:tr>
        <w:tc>
          <w:tcPr>
            <w:tcW w:type="pct" w:w="5000"/>
            <w:shd w:val="clear" w:color="auto" w:fill="F7F7F7"/>
          </w:tcPr>
          <w:p>
            <w:pPr>
              <w:autoSpaceDE w:val="0"/>
              <w:autoSpaceDN w:val="0"/>
            </w:pPr>
            <w:r/>
            <w:r>
              <w:rPr>
                <w:rFonts w:ascii="맑은 고딕" w:hAnsi="맑은 고딕" w:eastAsia="맑은 고딕" w:cs="맑은 고딕"/>
                <w:b/>
                <w:color w:val="000000"/>
                <w:sz w:val="19"/>
              </w:rPr>
              <w:t>Q. 폐기물처리시설 부지면적에 주민편익시설을 포함해 설치비용을 산정한 조례가 유효한가요?</w:t>
            </w:r>
          </w:p>
          <w:p>
            <w:pPr>
              <w:autoSpaceDE w:val="0"/>
              <w:autoSpaceDN w:val="0"/>
            </w:pPr>
            <w:r>
              <w:rPr>
                <w:rFonts w:ascii="맑은 고딕" w:hAnsi="맑은 고딕" w:eastAsia="맑은 고딕" w:cs="맑은 고딕"/>
                <w:b w:val="0"/>
                <w:color w:val="000000"/>
                <w:sz w:val="19"/>
              </w:rPr>
              <w:t>A. 아니요. 상위법령의 해석범위를 넘어 위임의 한계를 벗어난 새로운 입법으로서 효력이 없습니다.</w:t>
            </w:r>
          </w:p>
        </w:tc>
      </w:tr>
    </w:tbl>
    <w:p>
      <w:pPr>
        <w:autoSpaceDE w:val="0"/>
        <w:autoSpaceDN w:val="0"/>
      </w:pPr>
    </w:p>
    <w:p>
      <w:pPr>
        <w:pStyle w:val="2"/>
        <w:autoSpaceDE w:val="0"/>
        <w:autoSpaceDN w:val="0"/>
      </w:pPr>
      <w:r>
        <w:rPr>
          <w:rFonts w:ascii="맑은 고딕" w:hAnsi="맑은 고딕" w:eastAsia="맑은 고딕" w:cs="맑은 고딕"/>
          <w:color w:val="000000"/>
        </w:rPr>
        <w:t>1. 사건 개요</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200"/>
            <w:shd w:val="clear" w:color="auto" w:fill="F2F2F2"/>
          </w:tcPr>
          <w:p>
            <w:pPr>
              <w:autoSpaceDE w:val="0"/>
              <w:autoSpaceDN w:val="0"/>
            </w:pPr>
            <w:r/>
            <w:r>
              <w:rPr>
                <w:rFonts w:ascii="맑은 고딕" w:hAnsi="맑은 고딕" w:eastAsia="맑은 고딕" w:cs="맑은 고딕"/>
                <w:b/>
                <w:color w:val="000000"/>
                <w:sz w:val="19"/>
              </w:rPr>
              <w:t>사건번호</w:t>
            </w:r>
          </w:p>
        </w:tc>
        <w:tc>
          <w:tcPr>
            <w:tcW w:type="pct" w:w="3800"/>
          </w:tcPr>
          <w:p>
            <w:pPr>
              <w:autoSpaceDE w:val="0"/>
              <w:autoSpaceDN w:val="0"/>
            </w:pPr>
            <w:r/>
            <w:r>
              <w:rPr>
                <w:rFonts w:ascii="맑은 고딕" w:hAnsi="맑은 고딕" w:eastAsia="맑은 고딕" w:cs="맑은 고딕"/>
                <w:b w:val="0"/>
                <w:color w:val="000000"/>
                <w:sz w:val="19"/>
              </w:rPr>
              <w:t>2016두35229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선고일자</w:t>
            </w:r>
          </w:p>
        </w:tc>
        <w:tc>
          <w:tcPr>
            <w:tcW w:type="pct" w:w="3800"/>
          </w:tcPr>
          <w:p>
            <w:pPr>
              <w:autoSpaceDE w:val="0"/>
              <w:autoSpaceDN w:val="0"/>
            </w:pPr>
            <w:r/>
            <w:r>
              <w:rPr>
                <w:rFonts w:ascii="맑은 고딕" w:hAnsi="맑은 고딕" w:eastAsia="맑은 고딕" w:cs="맑은 고딕"/>
                <w:b w:val="0"/>
                <w:color w:val="000000"/>
                <w:sz w:val="19"/>
              </w:rPr>
              <w:t>2018.11.29</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법원</w:t>
            </w:r>
          </w:p>
        </w:tc>
        <w:tc>
          <w:tcPr>
            <w:tcW w:type="pct" w:w="3800"/>
          </w:tcPr>
          <w:p>
            <w:pPr>
              <w:autoSpaceDE w:val="0"/>
              <w:autoSpaceDN w:val="0"/>
            </w:pPr>
            <w:r/>
            <w:r>
              <w:rPr>
                <w:rFonts w:ascii="맑은 고딕" w:hAnsi="맑은 고딕" w:eastAsia="맑은 고딕" w:cs="맑은 고딕"/>
                <w:b w:val="0"/>
                <w:color w:val="000000"/>
                <w:sz w:val="19"/>
              </w:rPr>
              <w:t>대법원</w:t>
            </w:r>
          </w:p>
        </w:tc>
      </w:tr>
      <w:tr>
        <w:tc>
          <w:tcPr>
            <w:tcW w:type="pct" w:w="1200"/>
            <w:shd w:val="clear" w:color="auto" w:fill="F2F2F2"/>
          </w:tcPr>
          <w:p>
            <w:pPr>
              <w:autoSpaceDE w:val="0"/>
              <w:autoSpaceDN w:val="0"/>
            </w:pPr>
            <w:r/>
            <w:r>
              <w:rPr>
                <w:rFonts w:ascii="맑은 고딕" w:hAnsi="맑은 고딕" w:eastAsia="맑은 고딕" w:cs="맑은 고딕"/>
                <w:b/>
                <w:color w:val="000000"/>
                <w:sz w:val="19"/>
              </w:rPr>
              <w:t>당사자</w:t>
            </w:r>
          </w:p>
        </w:tc>
        <w:tc>
          <w:tcPr>
            <w:tcW w:type="pct" w:w="3800"/>
          </w:tcPr>
          <w:p>
            <w:pPr>
              <w:autoSpaceDE w:val="0"/>
              <w:autoSpaceDN w:val="0"/>
            </w:pPr>
            <w:r/>
            <w:r>
              <w:rPr>
                <w:rFonts w:ascii="맑은 고딕" w:hAnsi="맑은 고딕" w:eastAsia="맑은 고딕" w:cs="맑은 고딕"/>
                <w:b w:val="0"/>
                <w:color w:val="000000"/>
                <w:sz w:val="19"/>
              </w:rPr>
              <w:t>원고 서울주택도시공사 · 피고 서울특별시 서초구청장</w:t>
            </w:r>
          </w:p>
        </w:tc>
      </w:tr>
    </w:tbl>
    <w:p>
      <w:pPr>
        <w:autoSpaceDE w:val="0"/>
        <w:autoSpaceDN w:val="0"/>
      </w:pPr>
    </w:p>
    <w:p>
      <w:pPr>
        <w:pStyle w:val="2"/>
        <w:autoSpaceDE w:val="0"/>
        <w:autoSpaceDN w:val="0"/>
        <w:spacing w:before="80"/>
      </w:pPr>
      <w:r>
        <w:rPr>
          <w:rFonts w:ascii="맑은 고딕" w:hAnsi="맑은 고딕" w:eastAsia="맑은 고딕" w:cs="맑은 고딕"/>
          <w:color w:val="000000"/>
        </w:rPr>
        <w:t>2. 쟁점</w:t>
      </w:r>
    </w:p>
    <w:p>
      <w:pPr>
        <w:autoSpaceDE w:val="0"/>
        <w:autoSpaceDN w:val="0"/>
      </w:pPr>
      <w:r>
        <w:rPr>
          <w:rFonts w:ascii="맑은 고딕" w:hAnsi="맑은 고딕" w:eastAsia="맑은 고딕" w:cs="맑은 고딕"/>
          <w:color w:val="000000"/>
          <w:u w:val="single"/>
        </w:rPr>
        <w:t>[1] 법률의 위임 없이 주민의 권리제한 또는 의무부과에 관한 사항을 정한 조례의 효력(무효) 및 특정 사안과 관련하여 법령에서 조례에 위임을 한 경우, 조례가 위임의 한계를 준수하고 있는지 판단하는 기준</w:t>
      </w:r>
      <w:r>
        <w:rPr>
          <w:rFonts w:ascii="맑은 고딕" w:hAnsi="맑은 고딕" w:eastAsia="맑은 고딕" w:cs="맑은 고딕"/>
          <w:color w:val="000000"/>
        </w:rPr>
        <w:br/>
      </w:r>
      <w:r>
        <w:rPr>
          <w:rFonts w:ascii="맑은 고딕" w:hAnsi="맑은 고딕" w:eastAsia="맑은 고딕" w:cs="맑은 고딕"/>
          <w:color w:val="000000"/>
          <w:u w:val="single"/>
        </w:rPr>
        <w:t>[2] 구 폐기물처리시설 설치촉진 및 주변지역지원 등에 관한 법률에 따라 사업시행자가 설치하여야 하는 폐기물처리시설에 주민편익시설이 포함되는지 및 폐기물처리시설 설치비용 해당 금액에 주민편익시설 설치비용이 포함되는지 여부(소극)</w:t>
      </w:r>
      <w:r>
        <w:rPr>
          <w:rFonts w:ascii="맑은 고딕" w:hAnsi="맑은 고딕" w:eastAsia="맑은 고딕" w:cs="맑은 고딕"/>
          <w:color w:val="000000"/>
        </w:rPr>
        <w:br/>
      </w:r>
      <w:r>
        <w:rPr>
          <w:rFonts w:ascii="맑은 고딕" w:hAnsi="맑은 고딕" w:eastAsia="맑은 고딕" w:cs="맑은 고딕"/>
          <w:color w:val="000000"/>
          <w:u w:val="single"/>
        </w:rPr>
        <w:t>[3] 구청장이 구 폐기물처리시설 설치촉진 및 주변지역지원 등에 관한 법률 제6조에 따라 폐기물처리시설을 설치하거나 그 설치비용에 해당하는 금액을 납부할 의무를 부담하는 보금자리주택지구 조성사업을 시행하는 사업시행자에게 ‘서울특별시 서초구 폐기물처리시설 설치비용 징수와 기금설치 및 운용에 관한 조례’ 규정에 따라 폐기물처리시설 설치비용 산정의 기준이 되는 부지면적에 주민편익시설의 면적을 포함시켜 산정한 폐기물처리시설 부담금을 부과한 사안에서, 위 조례 규정은 상위법령의 가능한 해석범위를 넘어 이를 확장함으로써 위임의 한계를 벗어난 새로운 입법을 한 것과 다름없으므로 효력이 없다고 한 사례</w:t>
      </w:r>
    </w:p>
    <w:p>
      <w:pPr>
        <w:autoSpaceDE w:val="0"/>
        <w:autoSpaceDN w:val="0"/>
      </w:pPr>
    </w:p>
    <w:p>
      <w:pPr>
        <w:pStyle w:val="2"/>
        <w:autoSpaceDE w:val="0"/>
        <w:autoSpaceDN w:val="0"/>
        <w:spacing w:before="80"/>
      </w:pPr>
      <w:r>
        <w:rPr>
          <w:rFonts w:ascii="맑은 고딕" w:hAnsi="맑은 고딕" w:eastAsia="맑은 고딕" w:cs="맑은 고딕"/>
          <w:color w:val="000000"/>
        </w:rPr>
        <w:t>3. 판단</w:t>
      </w:r>
    </w:p>
    <w:p>
      <w:pPr>
        <w:autoSpaceDE w:val="0"/>
        <w:autoSpaceDN w:val="0"/>
      </w:pPr>
      <w:r>
        <w:rPr>
          <w:rFonts w:ascii="맑은 고딕" w:hAnsi="맑은 고딕" w:eastAsia="맑은 고딕" w:cs="맑은 고딕"/>
          <w:color w:val="000000"/>
        </w:rPr>
        <w:t>① 판단한다.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② 지방자치법 제22조, 행정규제기본법 제4조 제3항에 의하면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그 효력이 없다(대법원 2012. 11. 22. 선고 2010두19270 전원합의체 판결 등 참조).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여부 등도 아울러 고려하여야 한다(대법원 2018. 8. 30. 선고 2017두56193 판결 등 참조). 구 폐기물처리시설 설치촉진 및 주변지역지원 등에 관한 법률(2013. 8. 13. 법률 제12077호로 개정되기 전의 것, 이하 ‘폐기물시설촉진법’이라 한다) 제6조는, 대통령령으로 정하는 규모 이상인 공동주택단지 또는 택지를 개발하려는 자(이하 ‘사업시행자’라 한다)는 그 공동주택단지나 택지에서 발생하는 폐기물을 처리하기 위하여 대통령령으로 정하는 폐기물처리시설을 설치하거나 그 설치비용에 해당하는 금액(이하 ‘설치비용 해당 금액’이라 한다)을 해당 지역을 관할하는 시장 등에게 내야 하고(제1항), 시장 등은 납부받은 설치비용 해당 금액을 해당 공동주택단지나 택지에서 발생하는 폐기물을 처리하기 위한 폐기물처리시설을 설치하는 데에 사용하여야 하며(제2항), 설치비용 해당 금액의 산정방법, 납부절차 등에 관하여 필요한 사항은 대통령령으로 정한다고 규정하고 있다(제4항). 폐기물시설촉진법 제6조의 위임에 따라 같은 법 시행령(2014. 2. 11. 대통령령 제25165호로 개정되기 전의 것, 이하 ‘시행령’이라 한다) 제4조는, 폐기물시설촉진법 제6조 제1항의 ‘대통령령으로 정하는 폐기물처리시설’이란 해당 지역에서 발생하는 폐기물을 처리하기 위한 소각시설과 음식물류폐기물처리시설을 말하고, 그 설치비용 해당 금액은 시설부지의 매입에 드는 비용과 시설의 설치에 드는 비용으로 구분하여 산정하며(제3항), 금액 산정에 관하여 그 밖에 필요한 사항은 그 지역을 관할하는 특별자치도·시·군 또는 구의 조례로 정한다고 규정하고 있다(제4항). 시행령 제4조 제4항의 위임에 따라 「서울특별시 서초구 폐기물처리시설 설치비용 징수와 기금설치 및 운용에 관한 조례」(이하 ‘이 사건 조례’라 한다) 제5조의2는 부지매입에 드는 비용을 부지매입단가와 부지면적을 곱한 금액으로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③ 그런데 같은 조 제2호(이하 ‘이 사건 조례규정’이라 한다)에서는 부지면적을 시설설치, 주민편익시설 설치 및 주변 녹지대 설치에 필요한 면적을 합하여 산출하도록 규정하고, 그 구체적 기준을 정한 [별표 1]에서도 총 부지면적에 시설부지면적(폐기물처리시설, 관리동, 세차동 등 기타시설 면적)의 10%에 해당하는 주민편익시설 면적을 포함하도록 규정함으로써 설치비용 해당 금액에 ‘주민편익시설 설치비용’을 포함시키고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④ 결국, 이 사건 폐기물처리시설 설치비용 부과처분의 근거가 된 이 사건 조례규정은 사업시행자에게 주민편익시설 설치비용에 상응하는 금액까지 납부할 의무를 부과하도록 규정하고 있으므로, 이러한 조례규정이 유효하기 위해서는 법률의 위임이 있어야 하고, 그러한 위임 없이 제정되었다면 그 효력이 없다고 보아야 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⑤ 그런데 폐기물시설촉진법령 규정의 문언 및 체제 등에 비추어 보면, 사업시행자가 설치하여야 하는 폐기물처리시설에는 주민편익시설이 포함되지 않고, 설치비용 해당 금액에도 주민편익시설 설치비용이 포함되지 않는다고 해석된다.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⑥ 그 이유는 다음과 같다. ① 폐기물시설촉진법은 제2조에서 ‘폐기물처리시설’이란 폐기물관리법 제2조에 따른 폐기물처리시설을 말한다고 규정하고, 제20조에서 폐기물처리시설 설치기관은 대통령령으로 정하는 바에 따라 해당 폐기물처리시설의 부지나 그 인근에 지원협의체와 협의하여 체육시설 등 지역주민을 위한 편익시설을 설치하여야 한다고 규정하고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b/>
          <w:color w:val="000000"/>
          <w:u w:val="single"/>
        </w:rPr>
        <w:t>⑦ 이와 같이 폐기물처리시설과 주민편익시설은 법령상 명확히 구분되어 있고, 주민편익시설은 폐기물처리시설에 당연히 포함되거나 부대되는 시설이 아니다. ② 폐기물시설촉진법 제6조 및 시행령 제4조에 따라 사업시행자가 부담하는 의무는 폐기물처리시설의 설치 또는 그 설치비용에 해당하는 금액의 납부일 뿐이다. ③ 폐기물시설촉진법 제20조는 ‘폐기물처리시설 설치기관’에 대하여 일정한 경우 체육시설 등 지역주민을 위한 편익시설을 설치하여야 할 의무를 부과하고 있는데, 폐기물시설촉진법 제2조 제2호는 ‘폐기물처리시설 설치기관’을 ‘일정한 폐기물처리시설을 설치·운영하려는 환경부장관 또는 지방자치단체의 장, 수도권매립지관리공사의 장’으로 정의하고 있다.</w:t>
      </w:r>
      <w:r>
        <w:rPr>
          <w:rFonts w:ascii="맑은 고딕" w:hAnsi="맑은 고딕" w:eastAsia="맑은 고딕" w:cs="맑은 고딕"/>
          <w:color w:val="000000"/>
        </w:rPr>
        <w:br/>
      </w:r>
      <w:r>
        <w:rPr>
          <w:rFonts w:ascii="맑은 고딕" w:hAnsi="맑은 고딕" w:eastAsia="맑은 고딕" w:cs="맑은 고딕"/>
          <w:color w:val="000000"/>
        </w:rPr>
        <w:br/>
      </w:r>
      <w:r>
        <w:rPr>
          <w:rFonts w:ascii="맑은 고딕" w:hAnsi="맑은 고딕" w:eastAsia="맑은 고딕" w:cs="맑은 고딕"/>
          <w:color w:val="000000"/>
        </w:rPr>
        <w:t>⑧ 이와 같이 주민편익시설을 설치할 의무는 지방자치단체의 장 등에게 있고 사업시행자에게는 그 의무가 없다. ④ 폐기물시설촉진법은 폐기물처리시설 설치기관에게 주민편익시설 설치의무를 부과하였으므로, 폐기물처리시설 설치기관이 그 설치비용을 부담하는 것 …</w:t>
      </w:r>
    </w:p>
    <w:p>
      <w:pPr>
        <w:autoSpaceDE w:val="0"/>
        <w:autoSpaceDN w:val="0"/>
      </w:pPr>
    </w:p>
    <w:p>
      <w:pPr>
        <w:pStyle w:val="2"/>
        <w:autoSpaceDE w:val="0"/>
        <w:autoSpaceDN w:val="0"/>
        <w:spacing w:before="80"/>
      </w:pPr>
      <w:r>
        <w:rPr>
          <w:rFonts w:ascii="맑은 고딕" w:hAnsi="맑은 고딕" w:eastAsia="맑은 고딕" w:cs="맑은 고딕"/>
          <w:color w:val="000000"/>
        </w:rPr>
        <w:t>4. 판결요지</w:t>
      </w:r>
    </w:p>
    <w:p>
      <w:pPr>
        <w:autoSpaceDE w:val="0"/>
        <w:autoSpaceDN w:val="0"/>
      </w:pPr>
      <w:r>
        <w:rPr>
          <w:rFonts w:ascii="맑은 고딕" w:hAnsi="맑은 고딕" w:eastAsia="맑은 고딕" w:cs="맑은 고딕"/>
          <w:color w:val="000000"/>
          <w:u w:val="single"/>
        </w:rPr>
        <w:t xml:space="preserve">[1] 지방자치법 제22조, 행정규제기본법 제4조 제3항에 따르면 지방자치단체가 조례를 제정할 때에 그 내용이 주민의 권리제한 또는 의무부과에 관한 사항이나 벌칙인 경우에는 법률의 위임이 있어야 하므로, 법률의 위임 없이 주민의 권리제한 또는 의무부과에 관한 사항을 정한 조례는 효력이 없다. </w:t>
      </w:r>
      <w:r>
        <w:rPr>
          <w:rFonts w:ascii="맑은 고딕" w:hAnsi="맑은 고딕" w:eastAsia="맑은 고딕" w:cs="맑은 고딕"/>
          <w:color w:val="000000"/>
        </w:rPr>
        <w:br/>
      </w:r>
      <w:r>
        <w:rPr>
          <w:rFonts w:ascii="맑은 고딕" w:hAnsi="맑은 고딕" w:eastAsia="맑은 고딕" w:cs="맑은 고딕"/>
          <w:b/>
          <w:color w:val="000000"/>
          <w:u w:val="single"/>
        </w:rPr>
        <w:t xml:space="preserve">  특정 사안과 관련하여 법령에서 조례에 위임을 한 경우 조례가 위임의 한계를 준수하고 있는지 여부를 판단할 때는 당해 법령 규정의 입법 목적과 규정 내용, 규정의 체계, 다른 규정과의 관계 등을 종합적으로 살펴야 하고, 수권 규정에서 사용하고 있는 용어의 의미를 넘어 그 범위를 확장하거나 축소하여 위임 내용을 구체화하는 단계를 벗어나 새로운 입법을 하였는지 등도 아울러 고려하여야 한다.</w:t>
      </w:r>
      <w:r>
        <w:rPr>
          <w:rFonts w:ascii="맑은 고딕" w:hAnsi="맑은 고딕" w:eastAsia="맑은 고딕" w:cs="맑은 고딕"/>
          <w:color w:val="000000"/>
        </w:rPr>
        <w:br/>
      </w:r>
      <w:r>
        <w:rPr>
          <w:rFonts w:ascii="맑은 고딕" w:hAnsi="맑은 고딕" w:eastAsia="맑은 고딕" w:cs="맑은 고딕"/>
          <w:color w:val="000000"/>
          <w:u w:val="single"/>
        </w:rPr>
        <w:t>[2] 폐기물처리시설 설치촉진 및 주변지역지원 등에 관한 법령 규정의 문언 및 체제 등에 비추어 보면, 사업시행자가 설치하여야 하는 폐기물처리시설에는 주민편익시설이 포함되지 않고, 폐기물처리시설 설치비용 해당 금액에도 주민편익시설 설치비용이 포함되지 않는다.</w:t>
      </w:r>
      <w:r>
        <w:rPr>
          <w:rFonts w:ascii="맑은 고딕" w:hAnsi="맑은 고딕" w:eastAsia="맑은 고딕" w:cs="맑은 고딕"/>
          <w:color w:val="000000"/>
        </w:rPr>
        <w:br/>
      </w:r>
      <w:r>
        <w:rPr>
          <w:rFonts w:ascii="맑은 고딕" w:hAnsi="맑은 고딕" w:eastAsia="맑은 고딕" w:cs="맑은 고딕"/>
          <w:b/>
          <w:color w:val="000000"/>
          <w:u w:val="single"/>
        </w:rPr>
        <w:t>[3] 구청장이 구 폐기물처리시설 설치촉진 및 주변지역지원 등에 관한 법률(2013. 8. 13. 법률 제12077호로 개정되기 전의 것, 이하 ‘폐기물시설촉진법’이라 한다) 제6조에 따라 폐기물처리시설을 설치하거나 그 설치비용에 해당하는 금액을 납부할 의무를 부담하는 보금자리주택지구 조성사업을 시행하는 사업시행자에게 ‘서울특별시 서초구 폐기물처리시설 설치비용 징수와 기금설치 및 운용에 관한 조례’ 규정에 따라 폐기물처리시설 설치비용 산정의 기준이 되는 부지면적에 주민편익시설의 면적을 포함시켜 산정한 폐기물처리시설 부담금을 부과한 사안에서, 위 조례 규정은 폐기물시설촉진법령의 가능한 해석범위를 넘어 이를 확장함으로써 위임의 한계를 벗어난 새로운 입법을 한 것과 다름없으므로 효력이 없고, 사업시행자가 주민편익시설 설치비용을 부담하도록 할 필요성 또는 타당성이 있다는 사정만으로 그 법령 문언의 해석상 예측가능한 범위를 벗어나 사업시행자에게 새로운 비용부담의무를 부과하는 내용으로 제정된 조례 규정에 대하여 효력을 인정할 수는 없는데도, 이와 달리 위 조례 규정이 무효라고 볼 수 없고 조례 규정에 따라 부지면적 산정 시 주민편익시설의 면적을 포함시킨 위 처분이 적법하다고 판단한 원심판결에 법리를 오해한 잘못이 있다고 한 사례.</w:t>
      </w:r>
    </w:p>
    <w:p>
      <w:pPr>
        <w:autoSpaceDE w:val="0"/>
        <w:autoSpaceDN w:val="0"/>
      </w:pPr>
    </w:p>
    <w:p>
      <w:pPr>
        <w:pStyle w:val="2"/>
        <w:autoSpaceDE w:val="0"/>
        <w:autoSpaceDN w:val="0"/>
        <w:spacing w:before="80"/>
      </w:pPr>
      <w:r>
        <w:rPr>
          <w:rFonts w:ascii="맑은 고딕" w:hAnsi="맑은 고딕" w:eastAsia="맑은 고딕" w:cs="맑은 고딕"/>
          <w:color w:val="000000"/>
        </w:rPr>
        <w:t>5. 적용 법령</w:t>
      </w:r>
    </w:p>
    <w:tbl>
      <w:tblPr>
        <w:tblW w:type="pct" w:w="5000"/>
        <w:tblLook w:firstColumn="1" w:firstRow="1" w:lastColumn="0" w:lastRow="0" w:noHBand="0" w:noVBand="1" w:val="04A0"/>
        <w:tblBorders>
          <w:top w:val="single" w:sz="14" w:space="0" w:color="808080"/>
          <w:left w:val="single" w:sz="14" w:space="0" w:color="808080"/>
          <w:bottom w:val="single" w:sz="14" w:space="0" w:color="808080"/>
          <w:right w:val="single" w:sz="14" w:space="0" w:color="808080"/>
          <w:insideH w:val="single" w:sz="4" w:space="0" w:color="B7B7B7"/>
          <w:insideV w:val="single" w:sz="4" w:space="0" w:color="B7B7B7"/>
        </w:tblBorders>
      </w:tblPr>
      <w:tblGrid>
        <w:gridCol w:w="4513"/>
        <w:gridCol w:w="4513"/>
      </w:tblGrid>
      <w:tr>
        <w:tc>
          <w:tcPr>
            <w:tcW w:type="pct" w:w="1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조항</w:t>
            </w:r>
          </w:p>
        </w:tc>
        <w:tc>
          <w:tcPr>
            <w:tcW w:type="pct" w:w="3500"/>
            <w:shd w:val="clear" w:color="auto" w:fill="D9D9D9"/>
            <w:tcBorders>
              <w:bottom w:val="double" w:sz="6" w:space="0" w:color="808080"/>
            </w:tcBorders>
          </w:tcPr>
          <w:p>
            <w:pPr>
              <w:autoSpaceDE w:val="0"/>
              <w:autoSpaceDN w:val="0"/>
            </w:pPr>
            <w:r/>
            <w:r>
              <w:rPr>
                <w:rFonts w:ascii="맑은 고딕" w:hAnsi="맑은 고딕" w:eastAsia="맑은 고딕" w:cs="맑은 고딕"/>
                <w:b/>
                <w:color w:val="000000"/>
                <w:sz w:val="19"/>
              </w:rPr>
              <w:t>적용 문구</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지방자치법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제22조</w:t>
            </w:r>
          </w:p>
        </w:tc>
        <w:tc>
          <w:tcPr>
            <w:tcW w:type="pct" w:w="3500"/>
          </w:tcPr>
          <w:p>
            <w:pPr>
              <w:autoSpaceDE w:val="0"/>
              <w:autoSpaceDN w:val="0"/>
            </w:pPr>
            <w:r/>
            <w:r>
              <w:rPr>
                <w:rFonts w:ascii="맑은 고딕" w:hAnsi="맑은 고딕" w:eastAsia="맑은 고딕" w:cs="맑은 고딕"/>
                <w:b w:val="0"/>
                <w:color w:val="000000"/>
                <w:sz w:val="19"/>
              </w:rPr>
              <w:t>① 제21조제1항에 따라 공금의 지출에 관한 사항, 재산의 취득ㆍ관리ㆍ처분에 관한 사항, 해당 지방자치단체를 당사자로 하는 매매ㆍ임차ㆍ도급 계약이나 그 밖의 계약의 체결ㆍ이행에 관한 사항 또는 지방세ㆍ사용료ㆍ수수료ㆍ과태료 등 공금의 부과ㆍ징수를 게을리한 사항을 감사 청구한 주민은 다음 각 호의 어느 하나에 해당하는 경우에 그 감사 청구한 사항과 관련이 있는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행정규제기본법</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 제3항</w:t>
            </w:r>
          </w:p>
        </w:tc>
        <w:tc>
          <w:tcPr>
            <w:tcW w:type="pct" w:w="3500"/>
          </w:tcPr>
          <w:p>
            <w:pPr>
              <w:autoSpaceDE w:val="0"/>
              <w:autoSpaceDN w:val="0"/>
            </w:pPr>
            <w:r/>
            <w:r>
              <w:rPr>
                <w:rFonts w:ascii="맑은 고딕" w:hAnsi="맑은 고딕" w:eastAsia="맑은 고딕" w:cs="맑은 고딕"/>
                <w:b w:val="0"/>
                <w:color w:val="000000"/>
                <w:sz w:val="19"/>
              </w:rPr>
              <w:t>③ 행정기관은 법률에 근거하지 아니한 규제로 국민의 권리를 제한하거나 의무를 부과할 수 없다.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제2조</w:t>
            </w:r>
          </w:p>
        </w:tc>
        <w:tc>
          <w:tcPr>
            <w:tcW w:type="pct" w:w="3500"/>
          </w:tcPr>
          <w:p>
            <w:pPr>
              <w:autoSpaceDE w:val="0"/>
              <w:autoSpaceDN w:val="0"/>
            </w:pPr>
            <w:r/>
            <w:r>
              <w:rPr>
                <w:rFonts w:ascii="맑은 고딕" w:hAnsi="맑은 고딕" w:eastAsia="맑은 고딕" w:cs="맑은 고딕"/>
                <w:b w:val="0"/>
                <w:color w:val="000000"/>
                <w:sz w:val="19"/>
              </w:rPr>
              <w:t>이 법에서 사용하는 용어의 뜻은 다음과 같다.</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제6조</w:t>
            </w:r>
          </w:p>
        </w:tc>
        <w:tc>
          <w:tcPr>
            <w:tcW w:type="pct" w:w="3500"/>
          </w:tcPr>
          <w:p>
            <w:pPr>
              <w:autoSpaceDE w:val="0"/>
              <w:autoSpaceDN w:val="0"/>
            </w:pPr>
            <w:r/>
            <w:r>
              <w:rPr>
                <w:rFonts w:ascii="맑은 고딕" w:hAnsi="맑은 고딕" w:eastAsia="맑은 고딕" w:cs="맑은 고딕"/>
                <w:b w:val="0"/>
                <w:color w:val="000000"/>
                <w:sz w:val="19"/>
              </w:rPr>
              <w:t>① 대통령령으로 정하는 규모 이상의 공동주택단지나 택지(宅地)를 개발하려는 자는 그 공동주택단지나 택지에서 발생하는 폐기물을 처리하기 위하여 대통령령으로 정하는 폐기물처리시설을 설치하여야 한다. 이 경우 주거지역과 인접하여 생활환경에 심각한 영향이 우려되는 등 대통령령으로 정하는 기준에 해당하는 때에는 폐기물처리시설을 지하에 설치하여야 한다. ② 제1항에도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제20조</w:t>
            </w:r>
          </w:p>
        </w:tc>
        <w:tc>
          <w:tcPr>
            <w:tcW w:type="pct" w:w="3500"/>
          </w:tcPr>
          <w:p>
            <w:pPr>
              <w:autoSpaceDE w:val="0"/>
              <w:autoSpaceDN w:val="0"/>
            </w:pPr>
            <w:r/>
            <w:r>
              <w:rPr>
                <w:rFonts w:ascii="맑은 고딕" w:hAnsi="맑은 고딕" w:eastAsia="맑은 고딕" w:cs="맑은 고딕"/>
                <w:b w:val="0"/>
                <w:color w:val="000000"/>
                <w:sz w:val="19"/>
              </w:rPr>
              <w:t>① 폐기물처리시설 설치기관은 대통령령으로 정하는 바에 따라 해당 폐기물처리시설의 부지나 그 인근에 지원협의체와 협의하여 체육시설 등 지역주민을 위한 편익시설을 설치하여야 한다. 다만, 지원협의체가 그 편익시설의 전부나 일부의 설치를 원하지 아니하는 경우에는 시설의 설치 비용에 해당하는 금액을 제21조에 따른 주민지원기금에 출연(出捐)할 수 있다. ② 제6조 …</w:t>
            </w:r>
          </w:p>
        </w:tc>
      </w:tr>
      <w:tr>
        <w:tc>
          <w:tcPr>
            <w:tcW w:type="pct" w:w="1500"/>
            <w:shd w:val="clear" w:color="auto" w:fill="F2F2F2"/>
          </w:tcPr>
          <w:p>
            <w:pPr>
              <w:autoSpaceDE w:val="0"/>
              <w:autoSpaceDN w:val="0"/>
            </w:pPr>
            <w:r/>
            <w:r>
              <w:rPr>
                <w:rFonts w:ascii="맑은 고딕" w:hAnsi="맑은 고딕" w:eastAsia="맑은 고딕" w:cs="맑은 고딕"/>
                <w:b/>
                <w:color w:val="000000"/>
                <w:sz w:val="19"/>
              </w:rPr>
              <w:t>구 폐기물처리시설 설치촉진 및 주변지역지원 등에 관한 법률 시행령</w:t>
            </w:r>
            <w:r>
              <w:rPr>
                <w:rFonts w:ascii="맑은 고딕" w:hAnsi="맑은 고딕" w:eastAsia="맑은 고딕" w:cs="맑은 고딕"/>
                <w:b/>
                <w:color w:val="000000"/>
                <w:sz w:val="19"/>
              </w:rPr>
              <w:br/>
            </w:r>
            <w:r>
              <w:rPr>
                <w:rFonts w:ascii="맑은 고딕" w:hAnsi="맑은 고딕" w:eastAsia="맑은 고딕" w:cs="맑은 고딕"/>
                <w:b/>
                <w:color w:val="000000"/>
                <w:sz w:val="19"/>
              </w:rPr>
              <w:t>제4조</w:t>
            </w:r>
          </w:p>
        </w:tc>
        <w:tc>
          <w:tcPr>
            <w:tcW w:type="pct" w:w="3500"/>
          </w:tcPr>
          <w:p>
            <w:pPr>
              <w:autoSpaceDE w:val="0"/>
              <w:autoSpaceDN w:val="0"/>
            </w:pPr>
            <w:r/>
            <w:r>
              <w:rPr>
                <w:rFonts w:ascii="맑은 고딕" w:hAnsi="맑은 고딕" w:eastAsia="맑은 고딕" w:cs="맑은 고딕"/>
                <w:b w:val="0"/>
                <w:color w:val="000000"/>
                <w:sz w:val="19"/>
              </w:rPr>
              <w:t>① 법 제6조제1항 전단에서 "대통령령으로 정하는 규모 이상의 공동주택단지나 택지(宅地)"란 조성면적이 30만제곱미터 이상인 공동주택단지 또는 택지(이하 "택지등"이라 한다)를 말한다. ② 법 제6조제1항 전단에서 "대통령령으로 정하는 폐기물처리시설"이란 해당 지역에서 발생하는 폐기물을 처리하기 위한 소각시설과 음식물류 폐기물처리시설을 말한다.</w:t>
            </w:r>
          </w:p>
        </w:tc>
      </w:tr>
    </w:tbl>
    <w:p>
      <w:pPr>
        <w:pStyle w:val="2"/>
      </w:pPr>
      <w:r>
        <w:t>핵심 요약</w:t>
      </w:r>
    </w:p>
    <w:p>
      <w:pPr/>
      <w:r>
        <w:t>폐기물처리시설 설치비용 산정의 기준이 되는 부지면적에 주민편익시설 면적을 포함시켜 부담금을 부과할 수 있는지가 쟁점이었습니다.</w:t>
      </w:r>
    </w:p>
    <w:p>
      <w:pPr/>
      <w:r>
        <w:t>대법원은 사업시행자가 설치할 폐기물처리시설과 그 설치비용에 주민편익시설은 포함되지 않는다고 보았습니다.</w:t>
      </w:r>
    </w:p>
    <w:p>
      <w:pPr/>
      <w:r>
        <w:t>이를 포함시키도록 한 조례 규정은 상위법령의 해석범위를 넘어 위임 한계를 벗어난 새로운 입법이므로 무효라고 판단했습니다.</w:t>
      </w:r>
    </w:p>
    <w:p>
      <w:pPr>
        <w:pStyle w:val="note"/>
        <w:autoSpaceDE w:val="0"/>
        <w:autoSpaceDN w:val="0"/>
        <w:spacing w:before="80"/>
      </w:pPr>
      <w:r>
        <w:rPr>
          <w:rFonts w:ascii="맑은 고딕" w:hAnsi="맑은 고딕" w:eastAsia="맑은 고딕" w:cs="맑은 고딕"/>
          <w:color w:val="000000"/>
        </w:rPr>
        <w:t>※ ‘적용 문구’는 현행 조문을 요약한 것으로, 구법이 적용된 사건은 당시 조문과 다를 수 있습니다.</w:t>
      </w:r>
    </w:p>
    <w:p>
      <w:pPr>
        <w:pStyle w:val="note"/>
        <w:autoSpaceDE w:val="0"/>
        <w:autoSpaceDN w:val="0"/>
        <w:spacing w:before="120"/>
      </w:pPr>
      <w:r>
        <w:rPr>
          <w:rFonts w:ascii="맑은 고딕" w:hAnsi="맑은 고딕" w:eastAsia="맑은 고딕" w:cs="맑은 고딕"/>
          <w:color w:val="000000"/>
        </w:rPr>
        <w:t>※ 본 정리는 국가법령정보센터 판례를 정리한 참고자료이며, 구체적 사안은 판결 원문과 전문가 검토가 필요합니다.</w:t>
      </w:r>
    </w:p>
    <w:p>
      <w:pPr>
        <w:autoSpaceDE w:val="0"/>
        <w:autoSpaceDN w:val="0"/>
        <w:spacing w:before="120"/>
      </w:pPr>
      <w:r>
        <w:rPr>
          <w:rFonts w:ascii="맑은 고딕" w:hAnsi="맑은 고딕" w:eastAsia="맑은 고딕" w:cs="맑은 고딕"/>
          <w:color w:val="000000"/>
          <w:sz w:val="18"/>
        </w:rPr>
        <w:t>원문  https://www.law.go.kr/판례/(2016두35229)</w:t>
      </w:r>
    </w:p>
    <w:p>
      <w:pPr>
        <w:autoSpaceDE w:val="0"/>
        <w:autoSpaceDN w:val="0"/>
        <w:spacing w:before="80"/>
      </w:pPr>
      <w:r>
        <w:rPr>
          <w:rFonts w:ascii="맑은 고딕" w:hAnsi="맑은 고딕" w:eastAsia="맑은 고딕" w:cs="맑은 고딕"/>
          <w:color w:val="000000"/>
          <w:sz w:val="18"/>
        </w:rPr>
        <w:t>태그  #폐기물판례 #폐기물처리시설설치비용부담금 #폐기물부담금 #폐기물처리시설 #행정판례 #대법원판례 #2018년판례 #2016두35229 #환경법 #환경인허가 #인허가서대리 #서대리</w:t>
      </w:r>
    </w:p>
    <w:p>
      <w:pPr>
        <w:pStyle w:val="mark"/>
        <w:autoSpaceDE w:val="0"/>
        <w:autoSpaceDN w:val="0"/>
      </w:pPr>
      <w:r>
        <w:rPr>
          <w:rFonts w:ascii="맑은 고딕" w:hAnsi="맑은 고딕" w:eastAsia="맑은 고딕" w:cs="맑은 고딕"/>
          <w:color w:val="000000"/>
        </w:rPr>
        <w:t>인허가 서대리  https://seodaeri.com/</w:t>
      </w:r>
    </w:p>
    <w:sectPr w:rsidR="00B27BFC">
      <w:pgSz w:w="11906" w:h="16838"/>
      <w:pgMar w:top="1701" w:right="1440" w:bottom="1440" w:left="1440" w:header="851" w:footer="992" w:gutter="0"/>
      <w:cols w:space="425"/>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25019F" w14:textId="77777777" w:rsidR="00B27BFC" w:rsidRDefault="00B27BFC" w:rsidP="00F52617">
      <w:r>
        <w:separator/>
      </w:r>
    </w:p>
  </w:endnote>
  <w:endnote w:type="continuationSeparator" w:id="0">
    <w:p w14:paraId="7974C6BA" w14:textId="77777777" w:rsidR="00B27BFC" w:rsidRDefault="00B27BFC" w:rsidP="00F526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맑은 고딕">
    <w:panose1 w:val="020B0503020000020004"/>
    <w:charset w:val="81"/>
    <w:family w:val="modern"/>
    <w:pitch w:val="variable"/>
    <w:sig w:usb0="9000002F" w:usb1="29D77CFB" w:usb2="00000012" w:usb3="00000000" w:csb0="00080001" w:csb1="00000000"/>
  </w:font>
  <w:font w:name="굴림">
    <w:altName w:val="Gulim"/>
    <w:panose1 w:val="020B0600000101010101"/>
    <w:charset w:val="81"/>
    <w:family w:val="modern"/>
    <w:pitch w:val="variable"/>
    <w:sig w:usb0="B00002AF" w:usb1="69D77CFB" w:usb2="00000030" w:usb3="00000000" w:csb0="0008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CAD215" w14:textId="77777777" w:rsidR="00B27BFC" w:rsidRDefault="00B27BFC" w:rsidP="00F52617">
      <w:r>
        <w:separator/>
      </w:r>
    </w:p>
  </w:footnote>
  <w:footnote w:type="continuationSeparator" w:id="0">
    <w:p w14:paraId="7300C114" w14:textId="77777777" w:rsidR="00B27BFC" w:rsidRDefault="00B27BFC" w:rsidP="00F526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BEB13F6"/>
    <w:multiLevelType w:val="multilevel"/>
    <w:tmpl w:val="EF2AA2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D8A3F22"/>
    <w:multiLevelType w:val="multilevel"/>
    <w:tmpl w:val="801AD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0AF3513"/>
    <w:multiLevelType w:val="multilevel"/>
    <w:tmpl w:val="A90A5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5B35387B"/>
    <w:multiLevelType w:val="multilevel"/>
    <w:tmpl w:val="0E32E4F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02799665">
    <w:abstractNumId w:val="2"/>
  </w:num>
  <w:num w:numId="2" w16cid:durableId="1051461951">
    <w:abstractNumId w:val="0"/>
  </w:num>
  <w:num w:numId="3" w16cid:durableId="1212620573">
    <w:abstractNumId w:val="3"/>
  </w:num>
  <w:num w:numId="4" w16cid:durableId="62740037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800"/>
  <w:noPunctuationKerning/>
  <w:characterSpacingControl w:val="doNotCompress"/>
  <w:hdrShapeDefaults>
    <o:shapedefaults v:ext="edit" spidmax="2050"/>
  </w:hdrShapeDefaults>
  <w:footnotePr>
    <w:footnote w:id="-1"/>
    <w:footnote w:id="0"/>
  </w:footnotePr>
  <w:endnotePr>
    <w:endnote w:id="-1"/>
    <w:endnote w:id="0"/>
  </w:endnotePr>
  <w:compat>
    <w:doNotSnapToGridInCell/>
    <w:doNotWrapTextWithPunct/>
    <w:doNotUseEastAsianBreakRules/>
    <w:growAutofit/>
    <w:useFELayou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F52617"/>
    <w:rsid w:val="00A42A17"/>
    <w:rsid w:val="00B27BFC"/>
    <w:rsid w:val="00F52617"/>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DF796CA"/>
  <w15:chartTrackingRefBased/>
  <w15:docId w15:val="{AB8F6F78-766D-4920-A396-8027FE2C1B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EastAsia" w:hAnsi="Times New Roman" w:cs="Times New Roman"/>
        <w:lang w:val="en-US"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Pr>
      <w:rFonts w:ascii="굴림" w:eastAsia="굴림" w:hAnsi="굴림" w:cs="굴림"/>
      <w:sz w:val="24"/>
      <w:szCs w:val="24"/>
    </w:rPr>
  </w:style>
  <w:style w:type="paragraph" w:styleId="1">
    <w:name w:val="heading 1"/>
    <w:basedOn w:val="a"/>
    <w:link w:val="1Char"/>
    <w:uiPriority w:val="9"/>
    <w:qFormat/>
    <w:pPr>
      <w:spacing w:before="100" w:beforeAutospacing="1" w:after="100" w:afterAutospacing="1"/>
      <w:outlineLvl w:val="0"/>
    </w:pPr>
    <w:rPr>
      <w:b/>
      <w:bCs/>
      <w:kern w:val="36"/>
      <w:sz w:val="48"/>
      <w:szCs w:val="48"/>
    </w:rPr>
  </w:style>
  <w:style w:type="paragraph" w:styleId="2">
    <w:name w:val="heading 2"/>
    <w:basedOn w:val="a"/>
    <w:link w:val="2Char"/>
    <w:uiPriority w:val="9"/>
    <w:qFormat/>
    <w:pPr>
      <w:spacing w:before="450" w:after="150"/>
      <w:outlineLvl w:val="1"/>
    </w:pPr>
    <w:rPr>
      <w:b/>
      <w:bCs/>
      <w:sz w:val="23"/>
      <w:szCs w:val="23"/>
    </w:rPr>
  </w:style>
  <w:style w:type="paragraph" w:styleId="3">
    <w:name w:val="heading 3"/>
    <w:basedOn w:val="a"/>
    <w:link w:val="3Char"/>
    <w:uiPriority w:val="9"/>
    <w:qFormat/>
    <w:pPr>
      <w:spacing w:before="165" w:after="75"/>
      <w:outlineLvl w:val="2"/>
    </w:pPr>
    <w:rPr>
      <w:b/>
      <w:bCs/>
      <w:sz w:val="20"/>
      <w:szCs w:val="20"/>
    </w:rPr>
  </w:style>
  <w:style w:type="paragraph" w:styleId="4">
    <w:name w:val="heading 4"/>
    <w:basedOn w:val="a"/>
    <w:link w:val="4Char"/>
    <w:uiPriority w:val="9"/>
    <w:qFormat/>
    <w:pPr>
      <w:spacing w:before="210" w:after="75"/>
      <w:outlineLvl w:val="3"/>
    </w:pPr>
    <w:rPr>
      <w:b/>
      <w:bCs/>
      <w:sz w:val="19"/>
      <w:szCs w:val="19"/>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trPr>
      <w:hidden/>
    </w:trPr>
  </w:style>
  <w:style w:type="numbering" w:default="1" w:styleId="a2">
    <w:name w:val="No List"/>
    <w:uiPriority w:val="99"/>
    <w:semiHidden/>
    <w:unhideWhenUsed/>
  </w:style>
  <w:style w:type="character" w:customStyle="1" w:styleId="1Char">
    <w:name w:val="제목 1 Char"/>
    <w:basedOn w:val="a0"/>
    <w:link w:val="1"/>
    <w:uiPriority w:val="9"/>
    <w:rPr>
      <w:rFonts w:asciiTheme="majorHAnsi" w:eastAsiaTheme="majorEastAsia" w:hAnsiTheme="majorHAnsi" w:cstheme="majorBidi"/>
      <w:color w:val="000000" w:themeColor="text1"/>
      <w:sz w:val="32"/>
      <w:szCs w:val="32"/>
    </w:rPr>
  </w:style>
  <w:style w:type="character" w:customStyle="1" w:styleId="2Char">
    <w:name w:val="제목 2 Char"/>
    <w:basedOn w:val="a0"/>
    <w:link w:val="2"/>
    <w:uiPriority w:val="9"/>
    <w:semiHidden/>
    <w:rPr>
      <w:rFonts w:asciiTheme="majorHAnsi" w:eastAsiaTheme="majorEastAsia" w:hAnsiTheme="majorHAnsi" w:cstheme="majorBidi"/>
      <w:color w:val="000000" w:themeColor="text1"/>
      <w:sz w:val="28"/>
      <w:szCs w:val="28"/>
    </w:rPr>
  </w:style>
  <w:style w:type="character" w:customStyle="1" w:styleId="3Char">
    <w:name w:val="제목 3 Char"/>
    <w:basedOn w:val="a0"/>
    <w:link w:val="3"/>
    <w:uiPriority w:val="9"/>
    <w:semiHidden/>
    <w:rPr>
      <w:rFonts w:asciiTheme="majorHAnsi" w:eastAsiaTheme="majorEastAsia" w:hAnsiTheme="majorHAnsi" w:cstheme="majorBidi"/>
      <w:color w:val="000000" w:themeColor="text1"/>
      <w:sz w:val="24"/>
      <w:szCs w:val="24"/>
    </w:rPr>
  </w:style>
  <w:style w:type="character" w:customStyle="1" w:styleId="4Char">
    <w:name w:val="제목 4 Char"/>
    <w:basedOn w:val="a0"/>
    <w:link w:val="4"/>
    <w:uiPriority w:val="9"/>
    <w:semiHidden/>
    <w:rPr>
      <w:rFonts w:asciiTheme="majorHAnsi" w:eastAsiaTheme="majorEastAsia" w:hAnsiTheme="majorHAnsi" w:cstheme="majorBidi"/>
      <w:color w:val="000000" w:themeColor="text1"/>
      <w:sz w:val="24"/>
      <w:szCs w:val="24"/>
    </w:rPr>
  </w:style>
  <w:style w:type="paragraph" w:customStyle="1" w:styleId="msonormal0">
    <w:name w:val="msonormal"/>
    <w:basedOn w:val="a"/>
    <w:pPr>
      <w:spacing w:before="100" w:beforeAutospacing="1" w:after="100" w:afterAutospacing="1"/>
    </w:pPr>
  </w:style>
  <w:style w:type="paragraph" w:styleId="a3">
    <w:name w:val="Normal (Web)"/>
    <w:basedOn w:val="a"/>
    <w:uiPriority w:val="99"/>
    <w:semiHidden/>
    <w:unhideWhenUsed/>
    <w:pPr>
      <w:spacing w:before="100" w:beforeAutospacing="1" w:after="100" w:afterAutospacing="1"/>
    </w:pPr>
  </w:style>
  <w:style w:type="paragraph" w:customStyle="1" w:styleId="page">
    <w:name w:val="page"/>
    <w:basedOn w:val="a"/>
    <w:pPr>
      <w:shd w:val="clear" w:color="auto" w:fill="FFFFFF"/>
    </w:pPr>
  </w:style>
  <w:style w:type="paragraph" w:customStyle="1" w:styleId="toolbar">
    <w:name w:val="toolbar"/>
    <w:basedOn w:val="a"/>
    <w:pPr>
      <w:jc w:val="right"/>
    </w:pPr>
    <w:rPr>
      <w:vanish/>
    </w:rPr>
  </w:style>
  <w:style w:type="paragraph" w:customStyle="1" w:styleId="btn">
    <w:name w:val="btn"/>
    <w:basedOn w:val="a"/>
    <w:pPr>
      <w:pBdr>
        <w:top w:val="single" w:sz="6" w:space="4" w:color="999999"/>
        <w:left w:val="single" w:sz="6" w:space="11" w:color="999999"/>
        <w:bottom w:val="single" w:sz="6" w:space="4" w:color="999999"/>
        <w:right w:val="single" w:sz="6" w:space="11" w:color="999999"/>
      </w:pBdr>
      <w:shd w:val="clear" w:color="auto" w:fill="FFFFFF"/>
      <w:spacing w:before="100" w:beforeAutospacing="1" w:after="100" w:afterAutospacing="1"/>
    </w:pPr>
    <w:rPr>
      <w:color w:val="333333"/>
      <w:sz w:val="18"/>
      <w:szCs w:val="18"/>
    </w:rPr>
  </w:style>
  <w:style w:type="paragraph" w:customStyle="1" w:styleId="doc-head">
    <w:name w:val="doc-head"/>
    <w:basedOn w:val="a"/>
    <w:pPr>
      <w:spacing w:before="100" w:beforeAutospacing="1" w:after="270"/>
      <w:jc w:val="center"/>
    </w:pPr>
  </w:style>
  <w:style w:type="paragraph" w:customStyle="1" w:styleId="bt">
    <w:name w:val="bt"/>
    <w:basedOn w:val="a"/>
    <w:pPr>
      <w:spacing w:before="75" w:after="45"/>
    </w:pPr>
    <w:rPr>
      <w:sz w:val="19"/>
      <w:szCs w:val="19"/>
    </w:rPr>
  </w:style>
  <w:style w:type="paragraph" w:customStyle="1" w:styleId="law-box">
    <w:name w:val="law-box"/>
    <w:basedOn w:val="a"/>
    <w:pPr>
      <w:shd w:val="clear" w:color="auto" w:fill="FBFBFB"/>
      <w:spacing w:before="120" w:after="60"/>
    </w:pPr>
  </w:style>
  <w:style w:type="paragraph" w:customStyle="1" w:styleId="note">
    <w:name w:val="note"/>
    <w:basedOn w:val="a"/>
    <w:pPr>
      <w:spacing w:before="105"/>
      <w:ind w:hanging="225"/>
    </w:pPr>
    <w:rPr>
      <w:b/>
      <w:bCs/>
      <w:sz w:val="19"/>
      <w:szCs w:val="19"/>
    </w:rPr>
  </w:style>
  <w:style w:type="paragraph" w:customStyle="1" w:styleId="src">
    <w:name w:val="src"/>
    <w:basedOn w:val="a"/>
    <w:pPr>
      <w:spacing w:before="90"/>
    </w:pPr>
    <w:rPr>
      <w:sz w:val="17"/>
      <w:szCs w:val="17"/>
    </w:rPr>
  </w:style>
  <w:style w:type="paragraph" w:customStyle="1" w:styleId="mark">
    <w:name w:val="mark"/>
    <w:basedOn w:val="a"/>
    <w:pPr>
      <w:spacing w:before="90"/>
      <w:jc w:val="right"/>
    </w:pPr>
    <w:rPr>
      <w:b/>
      <w:bCs/>
      <w:color w:val="9A9A9A"/>
      <w:spacing w:val="3"/>
      <w:sz w:val="17"/>
      <w:szCs w:val="17"/>
    </w:rPr>
  </w:style>
  <w:style w:type="paragraph" w:customStyle="1" w:styleId="runfoot">
    <w:name w:val="runfoot"/>
    <w:basedOn w:val="a"/>
    <w:pPr>
      <w:spacing w:before="240" w:after="100" w:afterAutospacing="1"/>
    </w:pPr>
    <w:rPr>
      <w:b/>
      <w:bCs/>
      <w:color w:val="666666"/>
      <w:sz w:val="17"/>
      <w:szCs w:val="17"/>
    </w:rPr>
  </w:style>
  <w:style w:type="paragraph" w:customStyle="1" w:styleId="sm">
    <w:name w:val="sm"/>
    <w:basedOn w:val="a"/>
    <w:pPr>
      <w:spacing w:before="100" w:beforeAutospacing="1" w:after="100" w:afterAutospacing="1"/>
    </w:pPr>
  </w:style>
  <w:style w:type="paragraph" w:customStyle="1" w:styleId="law">
    <w:name w:val="law"/>
    <w:basedOn w:val="a"/>
    <w:pPr>
      <w:spacing w:before="100" w:beforeAutospacing="1" w:after="100" w:afterAutospacing="1"/>
    </w:pPr>
  </w:style>
  <w:style w:type="paragraph" w:customStyle="1" w:styleId="rule">
    <w:name w:val="rule"/>
    <w:basedOn w:val="a"/>
    <w:pPr>
      <w:spacing w:before="100" w:beforeAutospacing="1" w:after="100" w:afterAutospacing="1"/>
    </w:pPr>
  </w:style>
  <w:style w:type="paragraph" w:customStyle="1" w:styleId="sep">
    <w:name w:val="sep"/>
    <w:basedOn w:val="a"/>
    <w:pPr>
      <w:spacing w:before="100" w:beforeAutospacing="1" w:after="100" w:afterAutospacing="1"/>
    </w:pPr>
  </w:style>
  <w:style w:type="paragraph" w:customStyle="1" w:styleId="grp">
    <w:name w:val="grp"/>
    <w:basedOn w:val="a"/>
    <w:pPr>
      <w:spacing w:before="100" w:beforeAutospacing="1" w:after="100" w:afterAutospacing="1"/>
    </w:pPr>
  </w:style>
  <w:style w:type="paragraph" w:customStyle="1" w:styleId="v">
    <w:name w:val="v"/>
    <w:basedOn w:val="a"/>
    <w:pPr>
      <w:spacing w:before="100" w:beforeAutospacing="1" w:after="100" w:afterAutospacing="1"/>
    </w:pPr>
  </w:style>
  <w:style w:type="paragraph" w:customStyle="1" w:styleId="ctr">
    <w:name w:val="ctr"/>
    <w:basedOn w:val="a"/>
    <w:pPr>
      <w:spacing w:before="100" w:beforeAutospacing="1" w:after="100" w:afterAutospacing="1"/>
    </w:pPr>
  </w:style>
  <w:style w:type="paragraph" w:customStyle="1" w:styleId="key">
    <w:name w:val="key"/>
    <w:basedOn w:val="a"/>
    <w:pPr>
      <w:spacing w:before="100" w:beforeAutospacing="1" w:after="100" w:afterAutospacing="1"/>
    </w:pPr>
  </w:style>
  <w:style w:type="paragraph" w:customStyle="1" w:styleId="lw">
    <w:name w:val="lw"/>
    <w:basedOn w:val="a"/>
    <w:pPr>
      <w:spacing w:before="100" w:beforeAutospacing="1" w:after="100" w:afterAutospacing="1"/>
    </w:pPr>
  </w:style>
  <w:style w:type="paragraph" w:customStyle="1" w:styleId="na">
    <w:name w:val="na"/>
    <w:basedOn w:val="a"/>
    <w:pPr>
      <w:spacing w:before="100" w:beforeAutospacing="1" w:after="100" w:afterAutospacing="1"/>
    </w:pPr>
  </w:style>
  <w:style w:type="paragraph" w:customStyle="1" w:styleId="cite">
    <w:name w:val="cite"/>
    <w:basedOn w:val="a"/>
    <w:pPr>
      <w:spacing w:before="100" w:beforeAutospacing="1" w:after="100" w:afterAutospacing="1"/>
    </w:pPr>
  </w:style>
  <w:style w:type="paragraph" w:customStyle="1" w:styleId="body">
    <w:name w:val="body"/>
    <w:basedOn w:val="a"/>
    <w:pPr>
      <w:spacing w:before="100" w:beforeAutospacing="1" w:after="100" w:afterAutospacing="1"/>
    </w:pPr>
  </w:style>
  <w:style w:type="paragraph" w:customStyle="1" w:styleId="u">
    <w:name w:val="u"/>
    <w:basedOn w:val="a"/>
    <w:pPr>
      <w:spacing w:before="100" w:beforeAutospacing="1" w:after="100" w:afterAutospacing="1"/>
    </w:pPr>
  </w:style>
  <w:style w:type="paragraph" w:customStyle="1" w:styleId="brand">
    <w:name w:val="brand"/>
    <w:basedOn w:val="a"/>
    <w:pPr>
      <w:spacing w:before="100" w:beforeAutospacing="1" w:after="100" w:afterAutospacing="1"/>
    </w:pPr>
  </w:style>
  <w:style w:type="paragraph" w:customStyle="1" w:styleId="url">
    <w:name w:val="url"/>
    <w:basedOn w:val="a"/>
    <w:pPr>
      <w:spacing w:before="100" w:beforeAutospacing="1" w:after="100" w:afterAutospacing="1"/>
    </w:pPr>
  </w:style>
  <w:style w:type="paragraph" w:customStyle="1" w:styleId="ho">
    <w:name w:val="ho"/>
    <w:basedOn w:val="a"/>
    <w:pPr>
      <w:spacing w:before="100" w:beforeAutospacing="1" w:after="100" w:afterAutospacing="1"/>
    </w:pPr>
  </w:style>
  <w:style w:type="paragraph" w:customStyle="1" w:styleId="mok">
    <w:name w:val="mok"/>
    <w:basedOn w:val="a"/>
    <w:pPr>
      <w:spacing w:before="100" w:beforeAutospacing="1" w:after="100" w:afterAutospacing="1"/>
    </w:pPr>
  </w:style>
  <w:style w:type="paragraph" w:customStyle="1" w:styleId="amend">
    <w:name w:val="amend"/>
    <w:basedOn w:val="a"/>
    <w:pPr>
      <w:spacing w:before="100" w:beforeAutospacing="1" w:after="100" w:afterAutospacing="1"/>
    </w:pPr>
  </w:style>
  <w:style w:type="paragraph" w:customStyle="1" w:styleId="bigo-t">
    <w:name w:val="bigo-t"/>
    <w:basedOn w:val="a"/>
    <w:pPr>
      <w:spacing w:before="100" w:beforeAutospacing="1" w:after="100" w:afterAutospacing="1"/>
    </w:pPr>
  </w:style>
  <w:style w:type="paragraph" w:customStyle="1" w:styleId="eq">
    <w:name w:val="eq"/>
    <w:basedOn w:val="a"/>
    <w:pPr>
      <w:spacing w:before="100" w:beforeAutospacing="1" w:after="100" w:afterAutospacing="1"/>
    </w:pPr>
  </w:style>
  <w:style w:type="paragraph" w:customStyle="1" w:styleId="law1">
    <w:name w:val="law1"/>
    <w:basedOn w:val="a"/>
    <w:pPr>
      <w:spacing w:after="180"/>
    </w:pPr>
    <w:rPr>
      <w:sz w:val="19"/>
      <w:szCs w:val="19"/>
    </w:rPr>
  </w:style>
  <w:style w:type="paragraph" w:customStyle="1" w:styleId="rule1">
    <w:name w:val="rule1"/>
    <w:basedOn w:val="a"/>
  </w:style>
  <w:style w:type="paragraph" w:customStyle="1" w:styleId="sm1">
    <w:name w:val="sm1"/>
    <w:basedOn w:val="a"/>
    <w:pPr>
      <w:spacing w:before="100" w:beforeAutospacing="1" w:after="100" w:afterAutospacing="1"/>
      <w:ind w:left="90"/>
    </w:pPr>
    <w:rPr>
      <w:sz w:val="17"/>
      <w:szCs w:val="17"/>
    </w:rPr>
  </w:style>
  <w:style w:type="paragraph" w:customStyle="1" w:styleId="sep1">
    <w:name w:val="sep1"/>
    <w:basedOn w:val="a"/>
    <w:pPr>
      <w:pBdr>
        <w:left w:val="single" w:sz="6" w:space="0" w:color="E0E0E0"/>
      </w:pBdr>
      <w:spacing w:before="100" w:beforeAutospacing="1" w:after="100" w:afterAutospacing="1"/>
    </w:pPr>
  </w:style>
  <w:style w:type="paragraph" w:customStyle="1" w:styleId="grp1">
    <w:name w:val="grp1"/>
    <w:basedOn w:val="a"/>
    <w:pPr>
      <w:shd w:val="clear" w:color="auto" w:fill="F5F5F5"/>
      <w:spacing w:before="100" w:beforeAutospacing="1" w:after="100" w:afterAutospacing="1"/>
      <w:jc w:val="center"/>
      <w:textAlignment w:val="center"/>
    </w:pPr>
    <w:rPr>
      <w:b/>
      <w:bCs/>
    </w:rPr>
  </w:style>
  <w:style w:type="paragraph" w:customStyle="1" w:styleId="v1">
    <w:name w:val="v1"/>
    <w:basedOn w:val="a"/>
    <w:pPr>
      <w:spacing w:before="100" w:beforeAutospacing="1" w:after="100" w:afterAutospacing="1"/>
      <w:textAlignment w:val="center"/>
    </w:pPr>
  </w:style>
  <w:style w:type="paragraph" w:customStyle="1" w:styleId="ctr1">
    <w:name w:val="ctr1"/>
    <w:basedOn w:val="a"/>
    <w:pPr>
      <w:spacing w:before="100" w:beforeAutospacing="1" w:after="100" w:afterAutospacing="1"/>
      <w:jc w:val="center"/>
    </w:pPr>
  </w:style>
  <w:style w:type="paragraph" w:customStyle="1" w:styleId="key1">
    <w:name w:val="key1"/>
    <w:basedOn w:val="a"/>
    <w:pPr>
      <w:spacing w:before="100" w:beforeAutospacing="1" w:after="100" w:afterAutospacing="1"/>
    </w:pPr>
    <w:rPr>
      <w:b/>
      <w:bCs/>
    </w:rPr>
  </w:style>
  <w:style w:type="paragraph" w:customStyle="1" w:styleId="lw1">
    <w:name w:val="lw1"/>
    <w:basedOn w:val="a"/>
    <w:pPr>
      <w:spacing w:before="100" w:beforeAutospacing="1" w:after="100" w:afterAutospacing="1"/>
      <w:ind w:left="60"/>
    </w:pPr>
    <w:rPr>
      <w:sz w:val="17"/>
      <w:szCs w:val="17"/>
    </w:rPr>
  </w:style>
  <w:style w:type="paragraph" w:customStyle="1" w:styleId="na1">
    <w:name w:val="na1"/>
    <w:basedOn w:val="a"/>
    <w:pPr>
      <w:spacing w:before="100" w:beforeAutospacing="1" w:after="100" w:afterAutospacing="1"/>
    </w:pPr>
    <w:rPr>
      <w:color w:val="8A8A8A"/>
    </w:rPr>
  </w:style>
  <w:style w:type="paragraph" w:customStyle="1" w:styleId="cite1">
    <w:name w:val="cite1"/>
    <w:basedOn w:val="a"/>
    <w:pPr>
      <w:spacing w:after="90"/>
    </w:pPr>
    <w:rPr>
      <w:b/>
      <w:bCs/>
      <w:sz w:val="17"/>
      <w:szCs w:val="17"/>
    </w:rPr>
  </w:style>
  <w:style w:type="paragraph" w:customStyle="1" w:styleId="body1">
    <w:name w:val="body1"/>
    <w:basedOn w:val="a"/>
    <w:pPr>
      <w:spacing w:before="100" w:beforeAutospacing="1" w:after="100" w:afterAutospacing="1"/>
    </w:pPr>
    <w:rPr>
      <w:color w:val="000000"/>
      <w:sz w:val="19"/>
      <w:szCs w:val="19"/>
    </w:rPr>
  </w:style>
  <w:style w:type="paragraph" w:customStyle="1" w:styleId="ho1">
    <w:name w:val="ho1"/>
    <w:basedOn w:val="a"/>
    <w:pPr>
      <w:spacing w:after="75"/>
    </w:pPr>
  </w:style>
  <w:style w:type="paragraph" w:customStyle="1" w:styleId="mok1">
    <w:name w:val="mok1"/>
    <w:basedOn w:val="a"/>
    <w:pPr>
      <w:spacing w:after="75"/>
    </w:pPr>
  </w:style>
  <w:style w:type="paragraph" w:customStyle="1" w:styleId="amend1">
    <w:name w:val="amend1"/>
    <w:basedOn w:val="a"/>
    <w:pPr>
      <w:spacing w:after="75"/>
    </w:pPr>
    <w:rPr>
      <w:sz w:val="16"/>
      <w:szCs w:val="16"/>
    </w:rPr>
  </w:style>
  <w:style w:type="paragraph" w:customStyle="1" w:styleId="bigo-t1">
    <w:name w:val="bigo-t1"/>
    <w:basedOn w:val="a"/>
    <w:pPr>
      <w:spacing w:before="120" w:after="45"/>
    </w:pPr>
    <w:rPr>
      <w:rFonts w:ascii="맑은 고딕" w:eastAsia="맑은 고딕" w:hAnsi="맑은 고딕"/>
      <w:b/>
      <w:bCs/>
      <w:sz w:val="17"/>
      <w:szCs w:val="17"/>
    </w:rPr>
  </w:style>
  <w:style w:type="paragraph" w:customStyle="1" w:styleId="eq1">
    <w:name w:val="eq1"/>
    <w:basedOn w:val="a"/>
    <w:pPr>
      <w:spacing w:before="75" w:after="75"/>
    </w:pPr>
  </w:style>
  <w:style w:type="paragraph" w:customStyle="1" w:styleId="u1">
    <w:name w:val="u1"/>
    <w:basedOn w:val="a"/>
    <w:pPr>
      <w:spacing w:before="100" w:beforeAutospacing="1" w:after="100" w:afterAutospacing="1"/>
      <w:ind w:left="60"/>
    </w:pPr>
    <w:rPr>
      <w:b/>
      <w:bCs/>
      <w:color w:val="B0B0B0"/>
    </w:rPr>
  </w:style>
  <w:style w:type="paragraph" w:customStyle="1" w:styleId="brand1">
    <w:name w:val="brand1"/>
    <w:basedOn w:val="a"/>
    <w:pPr>
      <w:spacing w:before="100" w:beforeAutospacing="1" w:after="100" w:afterAutospacing="1"/>
    </w:pPr>
    <w:rPr>
      <w:b/>
      <w:bCs/>
      <w:color w:val="555555"/>
    </w:rPr>
  </w:style>
  <w:style w:type="paragraph" w:customStyle="1" w:styleId="url1">
    <w:name w:val="url1"/>
    <w:basedOn w:val="a"/>
    <w:pPr>
      <w:spacing w:before="100" w:beforeAutospacing="1" w:after="100" w:afterAutospacing="1"/>
    </w:pPr>
    <w:rPr>
      <w:color w:val="777777"/>
    </w:rPr>
  </w:style>
  <w:style w:type="character" w:customStyle="1" w:styleId="amend2">
    <w:name w:val="amend2"/>
    <w:basedOn w:val="a0"/>
    <w:rPr>
      <w:sz w:val="16"/>
      <w:szCs w:val="16"/>
    </w:rPr>
  </w:style>
  <w:style w:type="paragraph" w:styleId="a4">
    <w:name w:val="header"/>
    <w:basedOn w:val="a"/>
    <w:link w:val="Char"/>
    <w:uiPriority w:val="99"/>
    <w:unhideWhenUsed/>
    <w:rsid w:val="00F52617"/>
    <w:pPr>
      <w:tabs>
        <w:tab w:val="center" w:pos="4513"/>
        <w:tab w:val="right" w:pos="9026"/>
      </w:tabs>
      <w:snapToGrid w:val="0"/>
    </w:pPr>
  </w:style>
  <w:style w:type="character" w:customStyle="1" w:styleId="Char">
    <w:name w:val="머리글 Char"/>
    <w:basedOn w:val="a0"/>
    <w:link w:val="a4"/>
    <w:uiPriority w:val="99"/>
    <w:rsid w:val="00F52617"/>
    <w:rPr>
      <w:rFonts w:ascii="굴림" w:eastAsia="굴림" w:hAnsi="굴림" w:cs="굴림"/>
      <w:sz w:val="24"/>
      <w:szCs w:val="24"/>
    </w:rPr>
  </w:style>
  <w:style w:type="paragraph" w:styleId="a5">
    <w:name w:val="footer"/>
    <w:basedOn w:val="a"/>
    <w:link w:val="Char0"/>
    <w:uiPriority w:val="99"/>
    <w:unhideWhenUsed/>
    <w:rsid w:val="00F52617"/>
    <w:pPr>
      <w:tabs>
        <w:tab w:val="center" w:pos="4513"/>
        <w:tab w:val="right" w:pos="9026"/>
      </w:tabs>
      <w:snapToGrid w:val="0"/>
    </w:pPr>
  </w:style>
  <w:style w:type="character" w:customStyle="1" w:styleId="Char0">
    <w:name w:val="바닥글 Char"/>
    <w:basedOn w:val="a0"/>
    <w:link w:val="a5"/>
    <w:uiPriority w:val="99"/>
    <w:rsid w:val="00F52617"/>
    <w:rPr>
      <w:rFonts w:ascii="굴림" w:eastAsia="굴림" w:hAnsi="굴림" w:cs="굴림"/>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4857381">
      <w:marLeft w:val="0"/>
      <w:marRight w:val="0"/>
      <w:marTop w:val="0"/>
      <w:marBottom w:val="0"/>
      <w:divBdr>
        <w:top w:val="none" w:sz="0" w:space="0" w:color="auto"/>
        <w:left w:val="none" w:sz="0" w:space="0" w:color="auto"/>
        <w:bottom w:val="none" w:sz="0" w:space="0" w:color="auto"/>
        <w:right w:val="none" w:sz="0" w:space="0" w:color="auto"/>
      </w:divBdr>
      <w:divsChild>
        <w:div w:id="62219238">
          <w:marLeft w:val="0"/>
          <w:marRight w:val="0"/>
          <w:marTop w:val="0"/>
          <w:marBottom w:val="270"/>
          <w:divBdr>
            <w:top w:val="none" w:sz="0" w:space="0" w:color="auto"/>
            <w:left w:val="none" w:sz="0" w:space="0" w:color="auto"/>
            <w:bottom w:val="none" w:sz="0" w:space="0" w:color="auto"/>
            <w:right w:val="none" w:sz="0" w:space="0" w:color="auto"/>
          </w:divBdr>
        </w:div>
        <w:div w:id="327709656">
          <w:marLeft w:val="0"/>
          <w:marRight w:val="0"/>
          <w:marTop w:val="120"/>
          <w:marBottom w:val="60"/>
          <w:divBdr>
            <w:top w:val="none" w:sz="0" w:space="0" w:color="auto"/>
            <w:left w:val="none" w:sz="0" w:space="0" w:color="auto"/>
            <w:bottom w:val="none" w:sz="0" w:space="0" w:color="auto"/>
            <w:right w:val="none" w:sz="0" w:space="0" w:color="auto"/>
          </w:divBdr>
          <w:divsChild>
            <w:div w:id="663360407">
              <w:marLeft w:val="0"/>
              <w:marRight w:val="0"/>
              <w:marTop w:val="0"/>
              <w:marBottom w:val="0"/>
              <w:divBdr>
                <w:top w:val="none" w:sz="0" w:space="0" w:color="auto"/>
                <w:left w:val="none" w:sz="0" w:space="0" w:color="auto"/>
                <w:bottom w:val="none" w:sz="0" w:space="0" w:color="auto"/>
                <w:right w:val="none" w:sz="0" w:space="0" w:color="auto"/>
              </w:divBdr>
            </w:div>
          </w:divsChild>
        </w:div>
        <w:div w:id="1240868215">
          <w:marLeft w:val="0"/>
          <w:marRight w:val="0"/>
          <w:marTop w:val="120"/>
          <w:marBottom w:val="60"/>
          <w:divBdr>
            <w:top w:val="none" w:sz="0" w:space="0" w:color="auto"/>
            <w:left w:val="none" w:sz="0" w:space="0" w:color="auto"/>
            <w:bottom w:val="none" w:sz="0" w:space="0" w:color="auto"/>
            <w:right w:val="none" w:sz="0" w:space="0" w:color="auto"/>
          </w:divBdr>
          <w:divsChild>
            <w:div w:id="1496334653">
              <w:marLeft w:val="0"/>
              <w:marRight w:val="0"/>
              <w:marTop w:val="0"/>
              <w:marBottom w:val="0"/>
              <w:divBdr>
                <w:top w:val="none" w:sz="0" w:space="0" w:color="auto"/>
                <w:left w:val="none" w:sz="0" w:space="0" w:color="auto"/>
                <w:bottom w:val="none" w:sz="0" w:space="0" w:color="auto"/>
                <w:right w:val="none" w:sz="0" w:space="0" w:color="auto"/>
              </w:divBdr>
            </w:div>
          </w:divsChild>
        </w:div>
        <w:div w:id="712464575">
          <w:marLeft w:val="0"/>
          <w:marRight w:val="0"/>
          <w:marTop w:val="120"/>
          <w:marBottom w:val="60"/>
          <w:divBdr>
            <w:top w:val="none" w:sz="0" w:space="0" w:color="auto"/>
            <w:left w:val="none" w:sz="0" w:space="0" w:color="auto"/>
            <w:bottom w:val="none" w:sz="0" w:space="0" w:color="auto"/>
            <w:right w:val="none" w:sz="0" w:space="0" w:color="auto"/>
          </w:divBdr>
          <w:divsChild>
            <w:div w:id="1494491713">
              <w:marLeft w:val="0"/>
              <w:marRight w:val="0"/>
              <w:marTop w:val="0"/>
              <w:marBottom w:val="0"/>
              <w:divBdr>
                <w:top w:val="none" w:sz="0" w:space="0" w:color="auto"/>
                <w:left w:val="none" w:sz="0" w:space="0" w:color="auto"/>
                <w:bottom w:val="none" w:sz="0" w:space="0" w:color="auto"/>
                <w:right w:val="none" w:sz="0" w:space="0" w:color="auto"/>
              </w:divBdr>
            </w:div>
          </w:divsChild>
        </w:div>
        <w:div w:id="1865095160">
          <w:marLeft w:val="0"/>
          <w:marRight w:val="0"/>
          <w:marTop w:val="120"/>
          <w:marBottom w:val="60"/>
          <w:divBdr>
            <w:top w:val="none" w:sz="0" w:space="0" w:color="auto"/>
            <w:left w:val="none" w:sz="0" w:space="0" w:color="auto"/>
            <w:bottom w:val="none" w:sz="0" w:space="0" w:color="auto"/>
            <w:right w:val="none" w:sz="0" w:space="0" w:color="auto"/>
          </w:divBdr>
          <w:divsChild>
            <w:div w:id="1802578676">
              <w:marLeft w:val="0"/>
              <w:marRight w:val="0"/>
              <w:marTop w:val="0"/>
              <w:marBottom w:val="0"/>
              <w:divBdr>
                <w:top w:val="none" w:sz="0" w:space="0" w:color="auto"/>
                <w:left w:val="none" w:sz="0" w:space="0" w:color="auto"/>
                <w:bottom w:val="none" w:sz="0" w:space="0" w:color="auto"/>
                <w:right w:val="none" w:sz="0" w:space="0" w:color="auto"/>
              </w:divBdr>
            </w:div>
          </w:divsChild>
        </w:div>
        <w:div w:id="45494963">
          <w:marLeft w:val="0"/>
          <w:marRight w:val="0"/>
          <w:marTop w:val="120"/>
          <w:marBottom w:val="60"/>
          <w:divBdr>
            <w:top w:val="none" w:sz="0" w:space="0" w:color="auto"/>
            <w:left w:val="none" w:sz="0" w:space="0" w:color="auto"/>
            <w:bottom w:val="none" w:sz="0" w:space="0" w:color="auto"/>
            <w:right w:val="none" w:sz="0" w:space="0" w:color="auto"/>
          </w:divBdr>
          <w:divsChild>
            <w:div w:id="2001809288">
              <w:marLeft w:val="0"/>
              <w:marRight w:val="0"/>
              <w:marTop w:val="0"/>
              <w:marBottom w:val="0"/>
              <w:divBdr>
                <w:top w:val="none" w:sz="0" w:space="0" w:color="auto"/>
                <w:left w:val="none" w:sz="0" w:space="0" w:color="auto"/>
                <w:bottom w:val="none" w:sz="0" w:space="0" w:color="auto"/>
                <w:right w:val="none" w:sz="0" w:space="0" w:color="auto"/>
              </w:divBdr>
            </w:div>
          </w:divsChild>
        </w:div>
        <w:div w:id="1593124277">
          <w:marLeft w:val="0"/>
          <w:marRight w:val="0"/>
          <w:marTop w:val="120"/>
          <w:marBottom w:val="60"/>
          <w:divBdr>
            <w:top w:val="none" w:sz="0" w:space="0" w:color="auto"/>
            <w:left w:val="none" w:sz="0" w:space="0" w:color="auto"/>
            <w:bottom w:val="none" w:sz="0" w:space="0" w:color="auto"/>
            <w:right w:val="none" w:sz="0" w:space="0" w:color="auto"/>
          </w:divBdr>
          <w:divsChild>
            <w:div w:id="228228507">
              <w:marLeft w:val="0"/>
              <w:marRight w:val="0"/>
              <w:marTop w:val="0"/>
              <w:marBottom w:val="0"/>
              <w:divBdr>
                <w:top w:val="none" w:sz="0" w:space="0" w:color="auto"/>
                <w:left w:val="none" w:sz="0" w:space="0" w:color="auto"/>
                <w:bottom w:val="none" w:sz="0" w:space="0" w:color="auto"/>
                <w:right w:val="none" w:sz="0" w:space="0" w:color="auto"/>
              </w:divBdr>
            </w:div>
          </w:divsChild>
        </w:div>
        <w:div w:id="94373273">
          <w:marLeft w:val="0"/>
          <w:marRight w:val="0"/>
          <w:marTop w:val="120"/>
          <w:marBottom w:val="60"/>
          <w:divBdr>
            <w:top w:val="none" w:sz="0" w:space="0" w:color="auto"/>
            <w:left w:val="none" w:sz="0" w:space="0" w:color="auto"/>
            <w:bottom w:val="none" w:sz="0" w:space="0" w:color="auto"/>
            <w:right w:val="none" w:sz="0" w:space="0" w:color="auto"/>
          </w:divBdr>
          <w:divsChild>
            <w:div w:id="1841700196">
              <w:marLeft w:val="0"/>
              <w:marRight w:val="0"/>
              <w:marTop w:val="0"/>
              <w:marBottom w:val="0"/>
              <w:divBdr>
                <w:top w:val="none" w:sz="0" w:space="0" w:color="auto"/>
                <w:left w:val="none" w:sz="0" w:space="0" w:color="auto"/>
                <w:bottom w:val="none" w:sz="0" w:space="0" w:color="auto"/>
                <w:right w:val="none" w:sz="0" w:space="0" w:color="auto"/>
              </w:divBdr>
            </w:div>
          </w:divsChild>
        </w:div>
        <w:div w:id="475339630">
          <w:marLeft w:val="0"/>
          <w:marRight w:val="0"/>
          <w:marTop w:val="120"/>
          <w:marBottom w:val="60"/>
          <w:divBdr>
            <w:top w:val="none" w:sz="0" w:space="0" w:color="auto"/>
            <w:left w:val="none" w:sz="0" w:space="0" w:color="auto"/>
            <w:bottom w:val="none" w:sz="0" w:space="0" w:color="auto"/>
            <w:right w:val="none" w:sz="0" w:space="0" w:color="auto"/>
          </w:divBdr>
          <w:divsChild>
            <w:div w:id="1256476091">
              <w:marLeft w:val="0"/>
              <w:marRight w:val="0"/>
              <w:marTop w:val="0"/>
              <w:marBottom w:val="0"/>
              <w:divBdr>
                <w:top w:val="none" w:sz="0" w:space="0" w:color="auto"/>
                <w:left w:val="none" w:sz="0" w:space="0" w:color="auto"/>
                <w:bottom w:val="none" w:sz="0" w:space="0" w:color="auto"/>
                <w:right w:val="none" w:sz="0" w:space="0" w:color="auto"/>
              </w:divBdr>
            </w:div>
          </w:divsChild>
        </w:div>
        <w:div w:id="1807576728">
          <w:marLeft w:val="0"/>
          <w:marRight w:val="0"/>
          <w:marTop w:val="120"/>
          <w:marBottom w:val="60"/>
          <w:divBdr>
            <w:top w:val="none" w:sz="0" w:space="0" w:color="auto"/>
            <w:left w:val="none" w:sz="0" w:space="0" w:color="auto"/>
            <w:bottom w:val="none" w:sz="0" w:space="0" w:color="auto"/>
            <w:right w:val="none" w:sz="0" w:space="0" w:color="auto"/>
          </w:divBdr>
          <w:divsChild>
            <w:div w:id="1018854321">
              <w:marLeft w:val="0"/>
              <w:marRight w:val="0"/>
              <w:marTop w:val="0"/>
              <w:marBottom w:val="0"/>
              <w:divBdr>
                <w:top w:val="none" w:sz="0" w:space="0" w:color="auto"/>
                <w:left w:val="none" w:sz="0" w:space="0" w:color="auto"/>
                <w:bottom w:val="none" w:sz="0" w:space="0" w:color="auto"/>
                <w:right w:val="none" w:sz="0" w:space="0" w:color="auto"/>
              </w:divBdr>
            </w:div>
          </w:divsChild>
        </w:div>
        <w:div w:id="847018404">
          <w:marLeft w:val="0"/>
          <w:marRight w:val="0"/>
          <w:marTop w:val="120"/>
          <w:marBottom w:val="60"/>
          <w:divBdr>
            <w:top w:val="none" w:sz="0" w:space="0" w:color="auto"/>
            <w:left w:val="none" w:sz="0" w:space="0" w:color="auto"/>
            <w:bottom w:val="none" w:sz="0" w:space="0" w:color="auto"/>
            <w:right w:val="none" w:sz="0" w:space="0" w:color="auto"/>
          </w:divBdr>
          <w:divsChild>
            <w:div w:id="1568110208">
              <w:marLeft w:val="0"/>
              <w:marRight w:val="0"/>
              <w:marTop w:val="0"/>
              <w:marBottom w:val="0"/>
              <w:divBdr>
                <w:top w:val="none" w:sz="0" w:space="0" w:color="auto"/>
                <w:left w:val="none" w:sz="0" w:space="0" w:color="auto"/>
                <w:bottom w:val="none" w:sz="0" w:space="0" w:color="auto"/>
                <w:right w:val="none" w:sz="0" w:space="0" w:color="auto"/>
              </w:divBdr>
            </w:div>
          </w:divsChild>
        </w:div>
        <w:div w:id="585461056">
          <w:marLeft w:val="0"/>
          <w:marRight w:val="0"/>
          <w:marTop w:val="120"/>
          <w:marBottom w:val="60"/>
          <w:divBdr>
            <w:top w:val="none" w:sz="0" w:space="0" w:color="auto"/>
            <w:left w:val="none" w:sz="0" w:space="0" w:color="auto"/>
            <w:bottom w:val="none" w:sz="0" w:space="0" w:color="auto"/>
            <w:right w:val="none" w:sz="0" w:space="0" w:color="auto"/>
          </w:divBdr>
          <w:divsChild>
            <w:div w:id="1608852707">
              <w:marLeft w:val="0"/>
              <w:marRight w:val="0"/>
              <w:marTop w:val="0"/>
              <w:marBottom w:val="0"/>
              <w:divBdr>
                <w:top w:val="none" w:sz="0" w:space="0" w:color="auto"/>
                <w:left w:val="none" w:sz="0" w:space="0" w:color="auto"/>
                <w:bottom w:val="none" w:sz="0" w:space="0" w:color="auto"/>
                <w:right w:val="none" w:sz="0" w:space="0" w:color="auto"/>
              </w:divBdr>
            </w:div>
          </w:divsChild>
        </w:div>
        <w:div w:id="1949389103">
          <w:marLeft w:val="0"/>
          <w:marRight w:val="0"/>
          <w:marTop w:val="240"/>
          <w:marBottom w:val="0"/>
          <w:divBdr>
            <w:top w:val="none" w:sz="0" w:space="0" w:color="auto"/>
            <w:left w:val="none" w:sz="0" w:space="0" w:color="auto"/>
            <w:bottom w:val="none" w:sz="0" w:space="0" w:color="auto"/>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4</Pages>
  <Words>1344</Words>
  <Characters>7661</Characters>
  <Application>Microsoft Office Word</Application>
  <DocSecurity>4</DocSecurity>
  <Lines>63</Lines>
  <Paragraphs>17</Paragraphs>
  <ScaleCrop>false</ScaleCrop>
  <Company/>
  <LinksUpToDate>false</LinksUpToDate>
  <CharactersWithSpaces>8988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환경기술인 보유 자격기준 및 법적 근거</dc:title>
  <dc:subject/>
  <dc:creator>GWANGSIK JO</dc:creator>
  <cp:keywords/>
  <dc:description/>
  <cp:lastModifiedBy>GWANGSIK JO</cp:lastModifiedBy>
  <cp:revision>2</cp:revision>
  <dcterms:created xsi:type="dcterms:W3CDTF">2026-07-31T02:26:00Z</dcterms:created>
  <dcterms:modified xsi:type="dcterms:W3CDTF">2026-07-31T02:26:00Z</dcterms:modified>
</cp:coreProperties>
</file>