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 (2017도9582)</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제5항</w:t>
            </w:r>
          </w:p>
        </w:tc>
        <w:tc>
          <w:tcPr>
            <w:tcW w:type="pct" w:w="3500"/>
          </w:tcPr>
          <w:p>
            <w:pPr>
              <w:autoSpaceDE w:val="0"/>
              <w:autoSpaceDN w:val="0"/>
            </w:pPr>
            <w:r/>
            <w:r>
              <w:rPr>
                <w:rFonts w:ascii="맑은 고딕" w:hAnsi="맑은 고딕" w:eastAsia="맑은 고딕" w:cs="맑은 고딕"/>
                <w:b w:val="0"/>
                <w:color w:val="000000"/>
                <w:sz w:val="19"/>
              </w:rPr>
              <w:t>제24조 삭제</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폐기물처리시설을 설치하려는 자가 제29조제2항에 따른 승인을 받거나 신고를 한 경우, 같은 항 제1호에 따른 폐기물처리시설을 설치하는 경우 및 제25조제3항에 따른 폐기물처리업의 허가를 받은 경우 그 폐기물처리시설과 관련한 다음 각 호의 허가ㆍ신고에 관하여 기후에너지환경부장관 또는 시ㆍ도지사가 관계 행정기관의 장과 미리 협의한 사항에 대해서는 해당 허가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①폐기물처리업자, 제29조에 따른 폐기물처리시설의 설치승인을 받거나 신고를 한 자, 폐기물처리 신고자 또는 전용용기 제조업자(이하 이 조에서 "폐기물처리업자등"이라 한다)로부터 폐기물처리업, 폐기물처리시설, 제46조제1항에 따른 시설 또는 전용용기 제조업(이하 이 조에서 "폐기물처리업등"이라 한다)을 양수하거나 「민사집행법」에 따른 경매, 「채무자 회생 및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2"/>
      </w:pPr>
      <w:r>
        <w:t>핵심 요약</w:t>
      </w:r>
    </w:p>
    <w:p>
      <w:pPr/>
      <w:r>
        <w:t>사용종료한 폐기물처리시설 부지를 공매로 취득한 사람이 사후관리 시정명령을 이행할 의무가 있는지가 쟁점이었습니다.</w:t>
      </w:r>
    </w:p>
    <w:p>
      <w:pPr/>
      <w:r>
        <w:t>대법원은 공매 취득자는 허가·승인·신고에 따른 권리·의무를 승계하지 않으므로, 사후관리 시정명령은 의무 없는 자에게 내려진 처분이어서 불이행해도 죄가 되지 않는다고 판단했습니다.</w:t>
      </w:r>
    </w:p>
    <w:p>
      <w:pPr/>
      <w:r>
        <w:t>부지만 취득했다고 해서 이전 사업자의 폐기물 사후관리 의무까지 자동으로 넘어오지는 않는다는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