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 (2017두46783)</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유성이앤티 · 피고 부산광역시 기장군수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b/>
          <w:color w:val="000000"/>
          <w:u w:val="single"/>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2"/>
      </w:pPr>
      <w:r>
        <w:t>핵심 요약</w:t>
      </w:r>
    </w:p>
    <w:p>
      <w:pPr/>
      <w:r>
        <w:t>건설폐기물 처리 사업계획서의 적합 여부를 판단할 때 행정청이 어디까지 검토할 수 있고 재량이 얼마나 넓은지가 쟁점이었습니다.</w:t>
      </w:r>
    </w:p>
    <w:p>
      <w:pPr/>
      <w:r>
        <w:t>대법원은 환경기준 유지가 곤란한지를 판단할 때 생활환경과 자연환경에 미치는 영향을 두루 검토할 수 있고, 이에 관해 행정청에 광범위한 재량이 인정된다고 보았습니다.</w:t>
      </w:r>
    </w:p>
    <w:p>
      <w:pPr/>
      <w:r>
        <w:t>사후 규제만으로는 회복이 어려운 환경피해를 미리 막기 위한 부적합 통보도 재량권 일탈·남용으로 보기 어렵다는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