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autoSpaceDE w:val="0"/>
        <w:autoSpaceDN w:val="0"/>
        <w:spacing w:after="60"/>
      </w:pPr>
      <w:r>
        <w:rPr>
          <w:rFonts w:ascii="맑은 고딕" w:hAnsi="맑은 고딕" w:eastAsia="맑은 고딕" w:cs="맑은 고딕"/>
          <w:b/>
          <w:color w:val="000000"/>
          <w:sz w:val="30"/>
        </w:rPr>
        <w:t>폐유에 오염된 폐엔진 수입, 허가 대상인 ‘수출입규제폐기물’입니다. (2019도6525)</w:t>
      </w:r>
    </w:p>
    <w:p>
      <w:pPr>
        <w:pStyle w:val="law1"/>
        <w:autoSpaceDE w:val="0"/>
        <w:autoSpaceDN w:val="0"/>
        <w:spacing w:after="160"/>
      </w:pPr>
      <w:r>
        <w:rPr>
          <w:rFonts w:ascii="맑은 고딕" w:hAnsi="맑은 고딕" w:eastAsia="맑은 고딕" w:cs="맑은 고딕"/>
          <w:color w:val="000000"/>
        </w:rPr>
        <w:t>대법원 2019도6525 (2019.11.14 선고)</w:t>
      </w:r>
    </w:p>
    <w:p>
      <w:pPr>
        <w:autoSpaceDE w:val="0"/>
        <w:autoSpaceDN w:val="0"/>
        <w:spacing w:after="120"/>
      </w:pPr>
      <w:r>
        <w:rPr>
          <w:rFonts w:ascii="맑은 고딕" w:hAnsi="맑은 고딕" w:eastAsia="맑은 고딕" w:cs="맑은 고딕"/>
          <w:color w:val="000000"/>
        </w:rPr>
        <w:t>○ 환경부고시상 ‘금속폐기물 또는 그 합금 폐기물’이 합금에 한정되는지, 폐유에 오염된 폐엔진이 수입허가 대상인지가 문제된 사건입니다. 대법원은 금속폐기물 자체가 규제 대상이며 수입허가가 필요할 여지가 많다고 보았습니다.</w:t>
      </w:r>
    </w:p>
    <w:p>
      <w:pPr>
        <w:autoSpaceDE w:val="0"/>
        <w:autoSpaceDN w:val="0"/>
      </w:pP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9026"/>
      </w:tblGrid>
      <w:tr>
        <w:tc>
          <w:tcPr>
            <w:tcW w:type="pct" w:w="50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21"/>
              </w:rPr>
              <w:t>※ 간단요약</w:t>
            </w:r>
          </w:p>
        </w:tc>
      </w:tr>
      <w:tr>
        <w:tc>
          <w:tcPr>
            <w:tcW w:type="pct" w:w="5000"/>
            <w:shd w:val="clear" w:color="auto" w:fill="F7F7F7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‘금속폐기물 또는 그 합금으로 구성된 폐기물’은 합금 폐기물만 규제 대상인가요?</w:t>
            </w:r>
          </w:p>
          <w:p>
            <w:pPr>
              <w:autoSpaceDE w:val="0"/>
              <w:autoSpaceDN w:val="0"/>
            </w:pP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A. 아니요. 합금에 한정되지 않고 금속폐기물 자체를 의미하는 것으로 해석해야 합니다.</w:t>
            </w:r>
          </w:p>
          <w:p>
            <w:pPr>
              <w:autoSpaceDE w:val="0"/>
              <w:autoSpaceDN w:val="0"/>
            </w:pPr>
          </w:p>
          <w:p>
            <w:pPr>
              <w:autoSpaceDE w:val="0"/>
              <w:autoSpaceDN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폐유에 오염된 폐엔진을 허가 없이 수입해도 되나요?</w:t>
            </w:r>
          </w:p>
          <w:p>
            <w:pPr>
              <w:autoSpaceDE w:val="0"/>
              <w:autoSpaceDN w:val="0"/>
            </w:pP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A. 수출입규제폐기물에 해당할 여지가 많아 환경부장관의 수입허가가 필요합니다.</w:t>
            </w:r>
          </w:p>
        </w:tc>
      </w:tr>
    </w:tbl>
    <w:p>
      <w:pPr>
        <w:autoSpaceDE w:val="0"/>
        <w:autoSpaceDN w:val="0"/>
      </w:pPr>
    </w:p>
    <w:p>
      <w:pPr>
        <w:pStyle w:val="2"/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1. 사건 개요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2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사건번호</w:t>
            </w:r>
          </w:p>
        </w:tc>
        <w:tc>
          <w:tcPr>
            <w:tcW w:type="pct" w:w="38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2019도6525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선고일자</w:t>
            </w:r>
          </w:p>
        </w:tc>
        <w:tc>
          <w:tcPr>
            <w:tcW w:type="pct" w:w="38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2019.11.14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법원</w:t>
            </w:r>
          </w:p>
        </w:tc>
        <w:tc>
          <w:tcPr>
            <w:tcW w:type="pct" w:w="38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대법원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당사자</w:t>
            </w:r>
          </w:p>
        </w:tc>
        <w:tc>
          <w:tcPr>
            <w:tcW w:type="pct" w:w="38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피고인 1 외 1인</w:t>
            </w:r>
          </w:p>
        </w:tc>
      </w:tr>
    </w:tbl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2. 사실관계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① 피고인 1은 환경부장관의 허가를 받지 아니하고 2017. 12.~2018. 2. 동안 수출입규제폐기물인 금속폐기물(폐유에 오염된 폐엔진, 이하 ‘이 사건 폐엔진’이라고 한다) 147.529t을 수입하였고, 피고인 2 주식회사는 위 일시·장소에서 피고인의 대표인 피고인 1이 피고인의 업무에 관하여 위와 같은 위반행위를 하였다.</w:t>
      </w: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3. 쟁점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  <w:u w:val="single"/>
        </w:rPr>
        <w:t>이 사건의 쟁점은 이 사건 폐엔진이 이 사건 조항에서 규정한 수출입규제폐기물에 해당하는지 여부이다. 그리고 이는 이 사건 조항에 따른 규제대상 폐기물에 금속폐기물 자체가 포함된다고 볼 것인지, 아니면 안티몬 등의 합금으로 구성된 금속폐기물만이 포함된다고 볼 것인지 여부에 따라 달라진다. 전자는 이 사건 조항의 영문에서 consisting of 이하 문구가 폐기물(waste)만을 수식한다고 보는 견해를, 후자는 금속폐기물(metal wastes)도 수식한다고 보는 견해를 전제로 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  <w:u w:val="single"/>
        </w:rPr>
        <w:t>다. 이 사건 조항의 해석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  <w:u w:val="single"/>
        </w:rPr>
        <w:t>바젤협약, 폐기물국가간이동법 및 시행령, 이 사건 고시, 이 사건 조항의 체계와 구조, 문구, 내용, 취지 등을 종합하여 볼 때, 다음과 같은 이유로 이 사건 조항에서 규정하고 있는 것은 안티몬 등의 합금으로 구성된 금속폐기물에 한정되는 것이 아니라 금속폐기물 자체를 의미하는 것으로 해석하는 것이 타당하다.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  <w:u w:val="single"/>
        </w:rPr>
        <w:t>(1) 바젤협약 목록A 및 이 사건 고시 수출입규제폐기물의 품목에서 이 사건 조항이 위치한 가.항의 영문 제목은 ‘Metal and metal-bearing wastes’이므로 위 제목은 ‘금속폐기물(metal wastes)’과 ‘금속을 함유한 폐기물(metal-bearing wastes)’로 구분할 수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  <w:u w:val="single"/>
        </w:rPr>
        <w:t>그런데 가.항에서 규제대상으로 규정하고 있는 22개의 품목들은 ‘안티몬 등의 합금으로 구성된 폐기물’을 비롯하여 각 …</w:t>
      </w: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4. 판단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b/>
          <w:color w:val="000000"/>
          <w:u w:val="single"/>
        </w:rPr>
        <w:t>① 원심의 판단 환경부고시(제2017-188호, 이하 ‘이 사건 고시’라고 한다) 수출입규제폐기물의 품목 중 가. (1) ‘금속폐기물 또는 다음 성분의 합금으로 구성된 폐기물(Metal wastes and waste consisting of alloys of any of the following)’은 아래와 같은 이유로 안티몬 등의 성분이 포함된 금속폐기물 및 폐기물을 의미하는 것으로 해석하여야 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② 그런데 피고인 1이 수입한 금속폐기물인 이 사건 폐엔진에 안티몬 등의 성분이 포함되어 있다고 볼 증거가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③ 성분과 상관없이 ‘금속폐기물’ 자체를 수출입규제폐기물로 해석하는 경우, 이 사건 고시 [별표 2] 수출입관리폐기물의 품목 제24호에서 정한 수출입관리폐기물인 ‘폐금속류’와 중복된다.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④ 폐기물의 국가 간 이동 및 그 처리에 관한 법률(이하 ‘폐기물국가간이동법’이라고 한다)에 의하면, 법률 적용대상 폐기물은 수출입규제폐기물과 수출입관리폐기물로 양분되어 있는데, 성분과 상관없이 모든 금속폐기물이 수출입규제폐기물이자 수출입관리폐기물이라고 해석할 수는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⑤ 이와 같은 점을 고려하면 ‘Metal wastes and waste consisting of alloys of any of the following’에서 ‘consisting of alloys of any of the following’은 ‘waste’뿐만 아니라 ‘Metal wastes’도 꾸며주는 것으로 해석함이 자연스럽다.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⑥ 대법원의 판단 바젤협약 및 폐기물국가간이동법 개요 유해 폐기물의 국제적 이동의 통제와 규제를 목적으로 하는 바젤협약의 폐기물 목록A는 수출입규제가 필요한 유해 폐기물을, 목록B는 특별한 사정이 없는 이상 유해하지 않은 폐기물을 각 규정하고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  <w:u w:val="single"/>
        </w:rPr>
        <w:t>⑦ 바젤협약에 따라 제정되어 시행 중인 폐기물국가간이동법과 시행령은 바젤협약 목록A와 목록B를 바탕으로 수출입규제가 필요한 폐기물과 그 외의 수출입관리가 필요한 폐기물 중 폐기물관리법 제2조 3호에 따른 사업장폐기물을 환경부장관이 고시하도록 규정하고 있다(법 제2조 제1호, 시행령 제2조). 이에 따라 이 사건 고시는 [별지]에서 바젤협약 목록A에 해당하는 폐기물을 수출입규제폐기물로 규정하면서, 가.항 (1)호에서 ‘금속폐기물 또는 다음 성분(안티몬 등 9개 금속)의 합금으로 구성된 폐기물(Metal wastes and waste consisting of alloys of any of the following)’ 중 목록B에 열거된 폐기물을 제외한 나머지 폐기물을 규제대상 폐기물로 규정하고 있다(이하 ‘이 사건 조항’이라고 한다). 사안의 쟁점 이 사건의 쟁점은 이 사건 폐엔진이 이 사건 조항에서 규정한 수출입규제폐기물에 해당하는지 여부이다.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  <w:u w:val="single"/>
        </w:rPr>
        <w:t>⑧ 그리고 이는 이 사건 조항에 따른 규제대상 폐기물에 금속폐기물 자체가 포함된다고 볼 것인지, 아니면 안티몬 등의 합금으로 구성된 금속폐기물만이 포함된다고 볼 것인지 여부에 따라 달라진다.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⑨ 전자는 이 사건 조항의 영문에서 consisting of 이하 문구가 폐기물(waste)만을 수식한다고 보는 견해를, 후자는 금속폐기물(metal wastes)도 수식한다고 보는 견해를 전제로 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⑩ 이 사건 조항의 해석 바젤협약, 폐기물국가간이동법 및 시행령, 이 사건 고시, 이 사건 조항의 체계와 구조, 문구, 내용, 취지 등을 종합하여 볼 때, 다음과 같은 이유로 이 사건 조항에서 규정하고 있는 것은 안티몬 등의 합금으로 구성된 금속폐기물에 한정되는 것이 아니라 금속폐기물 자체를 의미하는 것으로 해석하는 것이 타당하다.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⑪ 바젤협약 목록A 및 이 사건 고시 수출입규제폐기물의 품목에서 이 사건 조항이 위치한 가.항의 영문 제목은 ‘Metal and metal-bearing wastes’이므로 위 제목은 ‘금속폐기물(metal wastes)’과 ‘금속을 함유한 폐기물(metal-bearing wastes)’로 구분할 수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⑫ 그런데 가.항에서 규제대상으로 규정하고 있는 22개의 품목들은 ‘안티몬 등의 합금으로 구성된 폐기물’을 비롯하여 각종 compounds(금속화합물), sludges(슬러지-금속찌꺼기), residue(금속잔재물), ashes(금속소각잔재), etching solution(용해된 구리를 포함한 부식액), assemblies or scrap(조립품 또는 스크랩), dross(불순물) 등의 물질들로 구성되어 있거나(consisting of), 오염되거나(having as contaminants), 발생하거나(from), 위 물질들을 함유물로 포함하거나(having as constituents), 함유한(containing) 폐기물 등으로 구성되어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⑬ 이와 같은 폐기물들은 모두 가.항 제목 중 ‘금속을 함유한 폐기물(metal-bearing wastes)’에 해당하는 것으로서, 위 제목 중 ‘금속을 함유한 폐기물’을 제외한 ‘금속폐기물’에 상응하여 가.항 품목 중 규제대상 품목으로 언급된 금속폐기물은 이 사건 조항의 금속폐기물이 유일하다.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⑭ 따라서 이 사건 조항에 규정된 금속폐기물은 가.항 제목에서 언급된 금속폐기물 자체로 보는 것이 제목과 내용이 서로 부합하는 해석이고, 그와 달리 안티몬 등의 합금으로 구성된 금속폐기물로 한정하여 해석하는 경우 제목에 …</w:t>
      </w: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5. 판결요지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b/>
          <w:color w:val="000000"/>
          <w:u w:val="single"/>
        </w:rPr>
        <w:t>[1] 유해 폐기물의 국제적 이동의 통제와 규제를 목적으로 하는 바젤협약, 폐기물의 국가 간 이동 및 그 처리에 관한 법률, 폐기물의 국가 간 이동 및 그 처리에 관한 법률 시행령, 환경부고시(제2017-188호) [별지] 수출입규제폐기물의 품목 중 가.항 (1)호의 ‘금속폐기물 또는 다음 성분(안티몬 등 9개 금속)의 합금으로 구성된 폐기물(Metal wastes and waste consisting of alloys of any of the following)’의 체계와 구조, 문구, 내용, 취지 등을 종합하여 볼 때, 위 환경부고시(제2017-188호) [별지] 수출입규제폐기물의 품목 중 가.항 (1)호에서 규정하고 있는 것은 안티몬 등의 합금으로 구성된 금속폐기물에 한정되는 것이 아니라 금속폐기물 자체를 의미하는 것으로 해석하는 것이 타당하다.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[2] 피고인 甲 주식회사의 대표인 피고인 乙이 환경부장관의 허가를 받지 아니하고 수출입규제폐기물에 해당하는 금속폐기물인 ‘폐유에 오염된 폐엔진’ 147.529t을 수입하였다고 하여 폐기물의 국가 간 이동 및 그 처리에 관한 법률(이하 ‘폐기물국가간이동법’이라고 한다) 위반으로 기소된 사안에서, 폐유에 오염된 것으로 보이는 위 폐엔진은 환경부고시(제2017-188호) [별지] 수출입규제폐기물의 품목 중 가.항 (1)호의 ‘금속폐기물 또는 다음 성분(안티몬 등 9개 금속)의 합금으로 구성된 폐기물(Metal wastes and waste consisting of alloys of any of the following)’에서 규정하고 있는 ‘금속폐기물’에 해당하고, ‘오염되지 않은 금속스크랩’ 등 유해 폐기물의 국제적 이동의 통제와 규제를 목적으로 하는 바젤협약 목록B에 규정된 제외 품목에도 해당하지 않아 결국 수입허가가 필요한 수출입규제폐기물에 해당할 여지가 많다는 이유로, 이와 달리 위 폐엔진이 수출입규제폐기물에 해당하지 않는다고 보아 공소사실을 무죄로 판단한 원심판결에 폐기물국가간이동법 및 유해 폐기물에 관한 법리를 오해한 잘못이 있다고 한 사례.</w:t>
      </w: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6. 적용 법령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5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조항</w:t>
            </w:r>
          </w:p>
        </w:tc>
        <w:tc>
          <w:tcPr>
            <w:tcW w:type="pct" w:w="35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적용 문구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폐기물의 국가 간 이동 및 그 처리에 관한 법률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제2조 제1호</w:t>
            </w:r>
          </w:p>
        </w:tc>
        <w:tc>
          <w:tcPr>
            <w:tcW w:type="pct" w:w="35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이 법에서 사용하는 용어의 뜻은 다음과 같다.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폐기물의 국가 간 이동 및 그 처리에 관한 법률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제10조 제1항</w:t>
            </w:r>
          </w:p>
        </w:tc>
        <w:tc>
          <w:tcPr>
            <w:tcW w:type="pct" w:w="35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① 수출입규제폐기물을 수입하려는 자는 대통령령으로 정하는 바에 따라 기후에너지환경부장관의 허가를 받아야 한다. 허가받은 사항을 변경하려는 경우에도 또한 같다.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폐기물의 국가 간 이동 및 그 처리에 관한 법률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제28조 제1호</w:t>
            </w:r>
          </w:p>
        </w:tc>
        <w:tc>
          <w:tcPr>
            <w:tcW w:type="pct" w:w="35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다음 각 호의 어느 하나에 해당하는 자는 5년 이하의 징역 또는 5천만원 이하의 벌금에 처한다.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폐기물의 국가 간 이동 및 그 처리에 관한 법률 시행령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제2조</w:t>
            </w:r>
          </w:p>
        </w:tc>
        <w:tc>
          <w:tcPr>
            <w:tcW w:type="pct" w:w="35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①「폐기물의 국가 간 이동 및 그 처리에 관한 법률」(이하 "법"이라 한다) 제2조제1호가목에서 "대통령령으로 정하는 물질"이란 다음 각 호의 폐기물을 말한다. ② 제1항 각 호에 따른 폐기물의 품목은 기후에너지환경부장관이 산업통상부장관과 협의하여 고시한다.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폐기물의 국가 간 이동 및 그 처리에 관한 법률 시행령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제2조 폐기물의 국가 간 이동 및 그 처리에 관한 법률 적용대상 폐기물의 품목 제1조 [별지]</w:t>
            </w:r>
          </w:p>
        </w:tc>
        <w:tc>
          <w:tcPr>
            <w:tcW w:type="pct" w:w="35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①「폐기물의 국가 간 이동 및 그 처리에 관한 법률」(이하 "법"이라 한다) 제2조제1호가목에서 "대통령령으로 정하는 물질"이란 다음 각 호의 폐기물을 말한다. ② 제1항 각 호에 따른 폐기물의 품목은 기후에너지환경부장관이 산업통상부장관과 협의하여 고시한다.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폐기물의 국가 간 이동 및 그 처리에 관한 법률 시행령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제2조 [별표 2]</w:t>
            </w:r>
          </w:p>
        </w:tc>
        <w:tc>
          <w:tcPr>
            <w:tcW w:type="pct" w:w="35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폐기물관리법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제2조 3호</w:t>
            </w:r>
          </w:p>
        </w:tc>
        <w:tc>
          <w:tcPr>
            <w:tcW w:type="pct" w:w="35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이 법에서 사용하는 용어의 뜻은 다음과 같다.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폐기물의 국가 간 이동 및 그 처리에 관한 법률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제31조</w:t>
            </w:r>
          </w:p>
        </w:tc>
        <w:tc>
          <w:tcPr>
            <w:tcW w:type="pct" w:w="35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법인의 대표자나 법인 또는 개인의 대리인, 사용인, 그 밖의 종업원이 그 법인 또는 개인의 업무에 관하여 제28조부터 제30조까지의 어느 하나에 해당하는 위반행위를 하면 그 행위자를 벌하는 외에 그 법인 또는 개인에게도 해당 조문의 벌금형을 과(科)한다. 다만, 법인 또는 개인이 그 위반행위를 방지하기 위하여 해당 업무에 관하여 상당한 주의와 감독을 게을리 …</w:t>
            </w:r>
          </w:p>
        </w:tc>
      </w:tr>
    </w:tbl>
    <w:p>
      <w:pPr>
        <w:pStyle w:val="2"/>
      </w:pPr>
      <w:r>
        <w:t>핵심 요약</w:t>
      </w:r>
    </w:p>
    <w:p>
      <w:pPr/>
      <w:r>
        <w:t>환경부고시상 규제 대상은 안티몬 등 합금으로 구성된 것뿐 아니라 금속폐기물 자체를 의미한다고 보았습니다.</w:t>
      </w:r>
    </w:p>
    <w:p>
      <w:pPr/>
      <w:r>
        <w:t>따라서 폐유에 오염된 폐엔진을 수입하려면 환경부장관의 수입허가를 받아야 할 여지가 큽니다.</w:t>
      </w:r>
    </w:p>
    <w:p>
      <w:pPr/>
      <w:r>
        <w:t>금속 폐기물을 수입할 때는 성분과 관계없이 수출입규제폐기물 해당 여부와 허가 필요성을 먼저 확인해야 합니다.</w:t>
      </w:r>
    </w:p>
    <w:p>
      <w:pPr>
        <w:pStyle w:val="note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※ ‘적용 문구’는 현행 조문을 요약한 것으로, 구법이 적용된 사건은 당시 조문과 다를 수 있습니다.</w:t>
      </w:r>
    </w:p>
    <w:p>
      <w:pPr>
        <w:pStyle w:val="note"/>
        <w:autoSpaceDE w:val="0"/>
        <w:autoSpaceDN w:val="0"/>
        <w:spacing w:before="120"/>
      </w:pPr>
      <w:r>
        <w:rPr>
          <w:rFonts w:ascii="맑은 고딕" w:hAnsi="맑은 고딕" w:eastAsia="맑은 고딕" w:cs="맑은 고딕"/>
          <w:color w:val="000000"/>
        </w:rPr>
        <w:t>※ 본 정리는 국가법령정보센터 판례를 정리한 참고자료이며, 구체적 사안은 판결 원문과 전문가 검토가 필요합니다.</w:t>
      </w:r>
    </w:p>
    <w:p>
      <w:pPr>
        <w:autoSpaceDE w:val="0"/>
        <w:autoSpaceDN w:val="0"/>
        <w:spacing w:before="120"/>
      </w:pPr>
      <w:r>
        <w:rPr>
          <w:rFonts w:ascii="맑은 고딕" w:hAnsi="맑은 고딕" w:eastAsia="맑은 고딕" w:cs="맑은 고딕"/>
          <w:color w:val="000000"/>
          <w:sz w:val="18"/>
        </w:rPr>
        <w:t>원문  https://www.law.go.kr/판례/(2019도6525)</w:t>
      </w:r>
    </w:p>
    <w:p>
      <w:pPr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  <w:sz w:val="18"/>
        </w:rPr>
        <w:t>태그  #폐기물판례 #폐기물수출입 #형사판례 #대법원판례 #2019년판례 #2019도6525 #환경법 #환경인허가 #인허가서대리 #서대리</w:t>
      </w:r>
    </w:p>
    <w:p>
      <w:pPr>
        <w:pStyle w:val="mark"/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인허가 서대리  https://seodaeri.com/</w:t>
      </w:r>
    </w:p>
    <w:sectPr w:rsidR="00B27BF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5019F" w14:textId="77777777" w:rsidR="00B27BFC" w:rsidRDefault="00B27BFC" w:rsidP="00F52617">
      <w:r>
        <w:separator/>
      </w:r>
    </w:p>
  </w:endnote>
  <w:endnote w:type="continuationSeparator" w:id="0">
    <w:p w14:paraId="7974C6BA" w14:textId="77777777" w:rsidR="00B27BFC" w:rsidRDefault="00B27BFC" w:rsidP="00F526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AD215" w14:textId="77777777" w:rsidR="00B27BFC" w:rsidRDefault="00B27BFC" w:rsidP="00F52617">
      <w:r>
        <w:separator/>
      </w:r>
    </w:p>
  </w:footnote>
  <w:footnote w:type="continuationSeparator" w:id="0">
    <w:p w14:paraId="7300C114" w14:textId="77777777" w:rsidR="00B27BFC" w:rsidRDefault="00B27BFC" w:rsidP="00F526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B13F6"/>
    <w:multiLevelType w:val="multilevel"/>
    <w:tmpl w:val="EF2AA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8A3F22"/>
    <w:multiLevelType w:val="multilevel"/>
    <w:tmpl w:val="801AD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AF3513"/>
    <w:multiLevelType w:val="multilevel"/>
    <w:tmpl w:val="A90A5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35387B"/>
    <w:multiLevelType w:val="multilevel"/>
    <w:tmpl w:val="0E32E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799665">
    <w:abstractNumId w:val="2"/>
  </w:num>
  <w:num w:numId="2" w16cid:durableId="1051461951">
    <w:abstractNumId w:val="0"/>
  </w:num>
  <w:num w:numId="3" w16cid:durableId="1212620573">
    <w:abstractNumId w:val="3"/>
  </w:num>
  <w:num w:numId="4" w16cid:durableId="6274003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617"/>
    <w:rsid w:val="00A42A17"/>
    <w:rsid w:val="00B27BFC"/>
    <w:rsid w:val="00F52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F796CA"/>
  <w15:chartTrackingRefBased/>
  <w15:docId w15:val="{AB8F6F78-766D-4920-A396-8027FE2C1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spacing w:before="450" w:after="150"/>
      <w:outlineLvl w:val="1"/>
    </w:pPr>
    <w:rPr>
      <w:b/>
      <w:bCs/>
      <w:sz w:val="23"/>
      <w:szCs w:val="23"/>
    </w:rPr>
  </w:style>
  <w:style w:type="paragraph" w:styleId="3">
    <w:name w:val="heading 3"/>
    <w:basedOn w:val="a"/>
    <w:link w:val="3Char"/>
    <w:uiPriority w:val="9"/>
    <w:qFormat/>
    <w:pPr>
      <w:spacing w:before="165" w:after="75"/>
      <w:outlineLvl w:val="2"/>
    </w:pPr>
    <w:rPr>
      <w:b/>
      <w:bCs/>
      <w:sz w:val="20"/>
      <w:szCs w:val="20"/>
    </w:rPr>
  </w:style>
  <w:style w:type="paragraph" w:styleId="4">
    <w:name w:val="heading 4"/>
    <w:basedOn w:val="a"/>
    <w:link w:val="4Char"/>
    <w:uiPriority w:val="9"/>
    <w:qFormat/>
    <w:pPr>
      <w:spacing w:before="210" w:after="75"/>
      <w:outlineLvl w:val="3"/>
    </w:pPr>
    <w:rPr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customStyle="1" w:styleId="page">
    <w:name w:val="page"/>
    <w:basedOn w:val="a"/>
    <w:pPr>
      <w:shd w:val="clear" w:color="auto" w:fill="FFFFFF"/>
    </w:pPr>
  </w:style>
  <w:style w:type="paragraph" w:customStyle="1" w:styleId="toolbar">
    <w:name w:val="toolbar"/>
    <w:basedOn w:val="a"/>
    <w:pPr>
      <w:jc w:val="right"/>
    </w:pPr>
    <w:rPr>
      <w:vanish/>
    </w:rPr>
  </w:style>
  <w:style w:type="paragraph" w:customStyle="1" w:styleId="btn">
    <w:name w:val="btn"/>
    <w:basedOn w:val="a"/>
    <w:pPr>
      <w:pBdr>
        <w:top w:val="single" w:sz="6" w:space="4" w:color="999999"/>
        <w:left w:val="single" w:sz="6" w:space="11" w:color="999999"/>
        <w:bottom w:val="single" w:sz="6" w:space="4" w:color="999999"/>
        <w:right w:val="single" w:sz="6" w:space="11" w:color="999999"/>
      </w:pBdr>
      <w:shd w:val="clear" w:color="auto" w:fill="FFFFFF"/>
      <w:spacing w:before="100" w:beforeAutospacing="1" w:after="100" w:afterAutospacing="1"/>
    </w:pPr>
    <w:rPr>
      <w:color w:val="333333"/>
      <w:sz w:val="18"/>
      <w:szCs w:val="18"/>
    </w:rPr>
  </w:style>
  <w:style w:type="paragraph" w:customStyle="1" w:styleId="doc-head">
    <w:name w:val="doc-head"/>
    <w:basedOn w:val="a"/>
    <w:pPr>
      <w:spacing w:before="100" w:beforeAutospacing="1" w:after="270"/>
      <w:jc w:val="center"/>
    </w:pPr>
  </w:style>
  <w:style w:type="paragraph" w:customStyle="1" w:styleId="bt">
    <w:name w:val="bt"/>
    <w:basedOn w:val="a"/>
    <w:pPr>
      <w:spacing w:before="75" w:after="45"/>
    </w:pPr>
    <w:rPr>
      <w:sz w:val="19"/>
      <w:szCs w:val="19"/>
    </w:rPr>
  </w:style>
  <w:style w:type="paragraph" w:customStyle="1" w:styleId="law-box">
    <w:name w:val="law-box"/>
    <w:basedOn w:val="a"/>
    <w:pPr>
      <w:shd w:val="clear" w:color="auto" w:fill="FBFBFB"/>
      <w:spacing w:before="120" w:after="60"/>
    </w:pPr>
  </w:style>
  <w:style w:type="paragraph" w:customStyle="1" w:styleId="note">
    <w:name w:val="note"/>
    <w:basedOn w:val="a"/>
    <w:pPr>
      <w:spacing w:before="105"/>
      <w:ind w:hanging="225"/>
    </w:pPr>
    <w:rPr>
      <w:b/>
      <w:bCs/>
      <w:sz w:val="19"/>
      <w:szCs w:val="19"/>
    </w:rPr>
  </w:style>
  <w:style w:type="paragraph" w:customStyle="1" w:styleId="src">
    <w:name w:val="src"/>
    <w:basedOn w:val="a"/>
    <w:pPr>
      <w:spacing w:before="90"/>
    </w:pPr>
    <w:rPr>
      <w:sz w:val="17"/>
      <w:szCs w:val="17"/>
    </w:rPr>
  </w:style>
  <w:style w:type="paragraph" w:customStyle="1" w:styleId="mark">
    <w:name w:val="mark"/>
    <w:basedOn w:val="a"/>
    <w:pPr>
      <w:spacing w:before="90"/>
      <w:jc w:val="right"/>
    </w:pPr>
    <w:rPr>
      <w:b/>
      <w:bCs/>
      <w:color w:val="9A9A9A"/>
      <w:spacing w:val="3"/>
      <w:sz w:val="17"/>
      <w:szCs w:val="17"/>
    </w:rPr>
  </w:style>
  <w:style w:type="paragraph" w:customStyle="1" w:styleId="runfoot">
    <w:name w:val="runfoot"/>
    <w:basedOn w:val="a"/>
    <w:pPr>
      <w:spacing w:before="240" w:after="100" w:afterAutospacing="1"/>
    </w:pPr>
    <w:rPr>
      <w:b/>
      <w:bCs/>
      <w:color w:val="666666"/>
      <w:sz w:val="17"/>
      <w:szCs w:val="17"/>
    </w:rPr>
  </w:style>
  <w:style w:type="paragraph" w:customStyle="1" w:styleId="sm">
    <w:name w:val="sm"/>
    <w:basedOn w:val="a"/>
    <w:pPr>
      <w:spacing w:before="100" w:beforeAutospacing="1" w:after="100" w:afterAutospacing="1"/>
    </w:pPr>
  </w:style>
  <w:style w:type="paragraph" w:customStyle="1" w:styleId="law">
    <w:name w:val="law"/>
    <w:basedOn w:val="a"/>
    <w:pPr>
      <w:spacing w:before="100" w:beforeAutospacing="1" w:after="100" w:afterAutospacing="1"/>
    </w:pPr>
  </w:style>
  <w:style w:type="paragraph" w:customStyle="1" w:styleId="rule">
    <w:name w:val="rule"/>
    <w:basedOn w:val="a"/>
    <w:pPr>
      <w:spacing w:before="100" w:beforeAutospacing="1" w:after="100" w:afterAutospacing="1"/>
    </w:pPr>
  </w:style>
  <w:style w:type="paragraph" w:customStyle="1" w:styleId="sep">
    <w:name w:val="sep"/>
    <w:basedOn w:val="a"/>
    <w:pPr>
      <w:spacing w:before="100" w:beforeAutospacing="1" w:after="100" w:afterAutospacing="1"/>
    </w:pPr>
  </w:style>
  <w:style w:type="paragraph" w:customStyle="1" w:styleId="grp">
    <w:name w:val="grp"/>
    <w:basedOn w:val="a"/>
    <w:pPr>
      <w:spacing w:before="100" w:beforeAutospacing="1" w:after="100" w:afterAutospacing="1"/>
    </w:pPr>
  </w:style>
  <w:style w:type="paragraph" w:customStyle="1" w:styleId="v">
    <w:name w:val="v"/>
    <w:basedOn w:val="a"/>
    <w:pPr>
      <w:spacing w:before="100" w:beforeAutospacing="1" w:after="100" w:afterAutospacing="1"/>
    </w:pPr>
  </w:style>
  <w:style w:type="paragraph" w:customStyle="1" w:styleId="ctr">
    <w:name w:val="ctr"/>
    <w:basedOn w:val="a"/>
    <w:pPr>
      <w:spacing w:before="100" w:beforeAutospacing="1" w:after="100" w:afterAutospacing="1"/>
    </w:pPr>
  </w:style>
  <w:style w:type="paragraph" w:customStyle="1" w:styleId="key">
    <w:name w:val="key"/>
    <w:basedOn w:val="a"/>
    <w:pPr>
      <w:spacing w:before="100" w:beforeAutospacing="1" w:after="100" w:afterAutospacing="1"/>
    </w:pPr>
  </w:style>
  <w:style w:type="paragraph" w:customStyle="1" w:styleId="lw">
    <w:name w:val="lw"/>
    <w:basedOn w:val="a"/>
    <w:pPr>
      <w:spacing w:before="100" w:beforeAutospacing="1" w:after="100" w:afterAutospacing="1"/>
    </w:pPr>
  </w:style>
  <w:style w:type="paragraph" w:customStyle="1" w:styleId="na">
    <w:name w:val="na"/>
    <w:basedOn w:val="a"/>
    <w:pPr>
      <w:spacing w:before="100" w:beforeAutospacing="1" w:after="100" w:afterAutospacing="1"/>
    </w:pPr>
  </w:style>
  <w:style w:type="paragraph" w:customStyle="1" w:styleId="cite">
    <w:name w:val="cite"/>
    <w:basedOn w:val="a"/>
    <w:pPr>
      <w:spacing w:before="100" w:beforeAutospacing="1" w:after="100" w:afterAutospacing="1"/>
    </w:pPr>
  </w:style>
  <w:style w:type="paragraph" w:customStyle="1" w:styleId="body">
    <w:name w:val="body"/>
    <w:basedOn w:val="a"/>
    <w:pPr>
      <w:spacing w:before="100" w:beforeAutospacing="1" w:after="100" w:afterAutospacing="1"/>
    </w:pPr>
  </w:style>
  <w:style w:type="paragraph" w:customStyle="1" w:styleId="u">
    <w:name w:val="u"/>
    <w:basedOn w:val="a"/>
    <w:pPr>
      <w:spacing w:before="100" w:beforeAutospacing="1" w:after="100" w:afterAutospacing="1"/>
    </w:pPr>
  </w:style>
  <w:style w:type="paragraph" w:customStyle="1" w:styleId="brand">
    <w:name w:val="brand"/>
    <w:basedOn w:val="a"/>
    <w:pPr>
      <w:spacing w:before="100" w:beforeAutospacing="1" w:after="100" w:afterAutospacing="1"/>
    </w:pPr>
  </w:style>
  <w:style w:type="paragraph" w:customStyle="1" w:styleId="url">
    <w:name w:val="url"/>
    <w:basedOn w:val="a"/>
    <w:pPr>
      <w:spacing w:before="100" w:beforeAutospacing="1" w:after="100" w:afterAutospacing="1"/>
    </w:pPr>
  </w:style>
  <w:style w:type="paragraph" w:customStyle="1" w:styleId="ho">
    <w:name w:val="ho"/>
    <w:basedOn w:val="a"/>
    <w:pPr>
      <w:spacing w:before="100" w:beforeAutospacing="1" w:after="100" w:afterAutospacing="1"/>
    </w:pPr>
  </w:style>
  <w:style w:type="paragraph" w:customStyle="1" w:styleId="mok">
    <w:name w:val="mok"/>
    <w:basedOn w:val="a"/>
    <w:pPr>
      <w:spacing w:before="100" w:beforeAutospacing="1" w:after="100" w:afterAutospacing="1"/>
    </w:pPr>
  </w:style>
  <w:style w:type="paragraph" w:customStyle="1" w:styleId="amend">
    <w:name w:val="amend"/>
    <w:basedOn w:val="a"/>
    <w:pPr>
      <w:spacing w:before="100" w:beforeAutospacing="1" w:after="100" w:afterAutospacing="1"/>
    </w:pPr>
  </w:style>
  <w:style w:type="paragraph" w:customStyle="1" w:styleId="bigo-t">
    <w:name w:val="bigo-t"/>
    <w:basedOn w:val="a"/>
    <w:pPr>
      <w:spacing w:before="100" w:beforeAutospacing="1" w:after="100" w:afterAutospacing="1"/>
    </w:pPr>
  </w:style>
  <w:style w:type="paragraph" w:customStyle="1" w:styleId="eq">
    <w:name w:val="eq"/>
    <w:basedOn w:val="a"/>
    <w:pPr>
      <w:spacing w:before="100" w:beforeAutospacing="1" w:after="100" w:afterAutospacing="1"/>
    </w:pPr>
  </w:style>
  <w:style w:type="paragraph" w:customStyle="1" w:styleId="law1">
    <w:name w:val="law1"/>
    <w:basedOn w:val="a"/>
    <w:pPr>
      <w:spacing w:after="180"/>
    </w:pPr>
    <w:rPr>
      <w:sz w:val="19"/>
      <w:szCs w:val="19"/>
    </w:rPr>
  </w:style>
  <w:style w:type="paragraph" w:customStyle="1" w:styleId="rule1">
    <w:name w:val="rule1"/>
    <w:basedOn w:val="a"/>
  </w:style>
  <w:style w:type="paragraph" w:customStyle="1" w:styleId="sm1">
    <w:name w:val="sm1"/>
    <w:basedOn w:val="a"/>
    <w:pPr>
      <w:spacing w:before="100" w:beforeAutospacing="1" w:after="100" w:afterAutospacing="1"/>
      <w:ind w:left="90"/>
    </w:pPr>
    <w:rPr>
      <w:sz w:val="17"/>
      <w:szCs w:val="17"/>
    </w:rPr>
  </w:style>
  <w:style w:type="paragraph" w:customStyle="1" w:styleId="sep1">
    <w:name w:val="sep1"/>
    <w:basedOn w:val="a"/>
    <w:pPr>
      <w:pBdr>
        <w:left w:val="single" w:sz="6" w:space="0" w:color="E0E0E0"/>
      </w:pBdr>
      <w:spacing w:before="100" w:beforeAutospacing="1" w:after="100" w:afterAutospacing="1"/>
    </w:pPr>
  </w:style>
  <w:style w:type="paragraph" w:customStyle="1" w:styleId="grp1">
    <w:name w:val="grp1"/>
    <w:basedOn w:val="a"/>
    <w:pPr>
      <w:shd w:val="clear" w:color="auto" w:fill="F5F5F5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v1">
    <w:name w:val="v1"/>
    <w:basedOn w:val="a"/>
    <w:pPr>
      <w:spacing w:before="100" w:beforeAutospacing="1" w:after="100" w:afterAutospacing="1"/>
      <w:textAlignment w:val="center"/>
    </w:pPr>
  </w:style>
  <w:style w:type="paragraph" w:customStyle="1" w:styleId="ctr1">
    <w:name w:val="ctr1"/>
    <w:basedOn w:val="a"/>
    <w:pPr>
      <w:spacing w:before="100" w:beforeAutospacing="1" w:after="100" w:afterAutospacing="1"/>
      <w:jc w:val="center"/>
    </w:pPr>
  </w:style>
  <w:style w:type="paragraph" w:customStyle="1" w:styleId="key1">
    <w:name w:val="key1"/>
    <w:basedOn w:val="a"/>
    <w:pPr>
      <w:spacing w:before="100" w:beforeAutospacing="1" w:after="100" w:afterAutospacing="1"/>
    </w:pPr>
    <w:rPr>
      <w:b/>
      <w:bCs/>
    </w:rPr>
  </w:style>
  <w:style w:type="paragraph" w:customStyle="1" w:styleId="lw1">
    <w:name w:val="lw1"/>
    <w:basedOn w:val="a"/>
    <w:pPr>
      <w:spacing w:before="100" w:beforeAutospacing="1" w:after="100" w:afterAutospacing="1"/>
      <w:ind w:left="60"/>
    </w:pPr>
    <w:rPr>
      <w:sz w:val="17"/>
      <w:szCs w:val="17"/>
    </w:rPr>
  </w:style>
  <w:style w:type="paragraph" w:customStyle="1" w:styleId="na1">
    <w:name w:val="na1"/>
    <w:basedOn w:val="a"/>
    <w:pPr>
      <w:spacing w:before="100" w:beforeAutospacing="1" w:after="100" w:afterAutospacing="1"/>
    </w:pPr>
    <w:rPr>
      <w:color w:val="8A8A8A"/>
    </w:rPr>
  </w:style>
  <w:style w:type="paragraph" w:customStyle="1" w:styleId="cite1">
    <w:name w:val="cite1"/>
    <w:basedOn w:val="a"/>
    <w:pPr>
      <w:spacing w:after="90"/>
    </w:pPr>
    <w:rPr>
      <w:b/>
      <w:bCs/>
      <w:sz w:val="17"/>
      <w:szCs w:val="17"/>
    </w:rPr>
  </w:style>
  <w:style w:type="paragraph" w:customStyle="1" w:styleId="body1">
    <w:name w:val="body1"/>
    <w:basedOn w:val="a"/>
    <w:pPr>
      <w:spacing w:before="100" w:beforeAutospacing="1" w:after="100" w:afterAutospacing="1"/>
    </w:pPr>
    <w:rPr>
      <w:color w:val="000000"/>
      <w:sz w:val="19"/>
      <w:szCs w:val="19"/>
    </w:rPr>
  </w:style>
  <w:style w:type="paragraph" w:customStyle="1" w:styleId="ho1">
    <w:name w:val="ho1"/>
    <w:basedOn w:val="a"/>
    <w:pPr>
      <w:spacing w:after="75"/>
    </w:pPr>
  </w:style>
  <w:style w:type="paragraph" w:customStyle="1" w:styleId="mok1">
    <w:name w:val="mok1"/>
    <w:basedOn w:val="a"/>
    <w:pPr>
      <w:spacing w:after="75"/>
    </w:pPr>
  </w:style>
  <w:style w:type="paragraph" w:customStyle="1" w:styleId="amend1">
    <w:name w:val="amend1"/>
    <w:basedOn w:val="a"/>
    <w:pPr>
      <w:spacing w:after="75"/>
    </w:pPr>
    <w:rPr>
      <w:sz w:val="16"/>
      <w:szCs w:val="16"/>
    </w:rPr>
  </w:style>
  <w:style w:type="paragraph" w:customStyle="1" w:styleId="bigo-t1">
    <w:name w:val="bigo-t1"/>
    <w:basedOn w:val="a"/>
    <w:pPr>
      <w:spacing w:before="120" w:after="45"/>
    </w:pPr>
    <w:rPr>
      <w:rFonts w:ascii="맑은 고딕" w:eastAsia="맑은 고딕" w:hAnsi="맑은 고딕"/>
      <w:b/>
      <w:bCs/>
      <w:sz w:val="17"/>
      <w:szCs w:val="17"/>
    </w:rPr>
  </w:style>
  <w:style w:type="paragraph" w:customStyle="1" w:styleId="eq1">
    <w:name w:val="eq1"/>
    <w:basedOn w:val="a"/>
    <w:pPr>
      <w:spacing w:before="75" w:after="75"/>
    </w:pPr>
  </w:style>
  <w:style w:type="paragraph" w:customStyle="1" w:styleId="u1">
    <w:name w:val="u1"/>
    <w:basedOn w:val="a"/>
    <w:pPr>
      <w:spacing w:before="100" w:beforeAutospacing="1" w:after="100" w:afterAutospacing="1"/>
      <w:ind w:left="60"/>
    </w:pPr>
    <w:rPr>
      <w:b/>
      <w:bCs/>
      <w:color w:val="B0B0B0"/>
    </w:rPr>
  </w:style>
  <w:style w:type="paragraph" w:customStyle="1" w:styleId="brand1">
    <w:name w:val="brand1"/>
    <w:basedOn w:val="a"/>
    <w:pPr>
      <w:spacing w:before="100" w:beforeAutospacing="1" w:after="100" w:afterAutospacing="1"/>
    </w:pPr>
    <w:rPr>
      <w:b/>
      <w:bCs/>
      <w:color w:val="555555"/>
    </w:rPr>
  </w:style>
  <w:style w:type="paragraph" w:customStyle="1" w:styleId="url1">
    <w:name w:val="url1"/>
    <w:basedOn w:val="a"/>
    <w:pPr>
      <w:spacing w:before="100" w:beforeAutospacing="1" w:after="100" w:afterAutospacing="1"/>
    </w:pPr>
    <w:rPr>
      <w:color w:val="777777"/>
    </w:rPr>
  </w:style>
  <w:style w:type="character" w:customStyle="1" w:styleId="amend2">
    <w:name w:val="amend2"/>
    <w:basedOn w:val="a0"/>
    <w:rPr>
      <w:sz w:val="16"/>
      <w:szCs w:val="16"/>
    </w:rPr>
  </w:style>
  <w:style w:type="paragraph" w:styleId="a4">
    <w:name w:val="header"/>
    <w:basedOn w:val="a"/>
    <w:link w:val="Char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F52617"/>
    <w:rPr>
      <w:rFonts w:ascii="굴림" w:eastAsia="굴림" w:hAnsi="굴림" w:cs="굴림"/>
      <w:sz w:val="24"/>
      <w:szCs w:val="24"/>
    </w:rPr>
  </w:style>
  <w:style w:type="paragraph" w:styleId="a5">
    <w:name w:val="footer"/>
    <w:basedOn w:val="a"/>
    <w:link w:val="Char0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F52617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73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9238">
          <w:marLeft w:val="0"/>
          <w:marRight w:val="0"/>
          <w:marTop w:val="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6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86821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6457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09516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9496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124277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7327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33963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76728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018404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4610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91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1344</Words>
  <Characters>7661</Characters>
  <Application>Microsoft Office Word</Application>
  <DocSecurity>4</DocSecurity>
  <Lines>63</Lines>
  <Paragraphs>17</Paragraphs>
  <ScaleCrop>false</ScaleCrop>
  <Company/>
  <LinksUpToDate>false</LinksUpToDate>
  <CharactersWithSpaces>8988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환경기술인 보유 자격기준 및 법적 근거</dc:title>
  <dc:subject/>
  <dc:creator>GWANGSIK JO</dc:creator>
  <cp:keywords/>
  <dc:description/>
  <cp:lastModifiedBy>GWANGSIK JO</cp:lastModifiedBy>
  <cp:revision>2</cp:revision>
  <dcterms:created xsi:type="dcterms:W3CDTF">2026-07-31T02:26:00Z</dcterms:created>
  <dcterms:modified xsi:type="dcterms:W3CDTF">2026-07-31T02:26:00Z</dcterms:modified>
</cp:coreProperties>
</file>