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 (2019두45579)</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성국환경 · 피고 화천군수</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bl>
    <w:p>
      <w:pPr>
        <w:pStyle w:val="2"/>
      </w:pPr>
      <w:r>
        <w:t>핵심 요약</w:t>
      </w:r>
    </w:p>
    <w:p>
      <w:pPr/>
      <w:r>
        <w:t>행정청이 폐기물처리 사업계획서의 적합 여부를 판단할 때는 환경오염 우려 등을 두고 광범위한 재량이 인정됩니다.</w:t>
      </w:r>
    </w:p>
    <w:p>
      <w:pPr/>
      <w:r>
        <w:t>처분서에 부적합 사유를 간략히만 적었더라도 소송에서는 행정청이 구체적 사유를 밝히고 법원이 그 재량권 남용 여부를 심리해야 합니다.</w:t>
      </w:r>
    </w:p>
    <w:p>
      <w:pPr/>
      <w:r>
        <w:t>비산먼지·수질오염 우려를 뒷받침할 객관적 자료가 없다는 이유만으로 곧바로 부적합 처분을 위법하다고 볼 수는 없다는 점에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