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 (2020도10970)</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추징에 관한 법리오해 주장에 대하여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피고인들이 사업장폐기물배출업체로부터 받은 돈을 형법 제48조 소정의 몰수ㆍ추징의 대상으로 보기 위해서는 피고인들의 위와 같은 범죄행위로 인하여 취득하였다는 점이 인정되어야만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몰수ㆍ추징에 관한 법리를 오해하고 필요한 심리를 다하지 아니함으로써 판결에 영향을 미친 잘못이 있다.</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 ② 제1항 각 호의 물건을 몰수할 수 없을 때에는 그 가액(價額)을 추징한다.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 제2호</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제2항</w:t>
            </w:r>
          </w:p>
        </w:tc>
        <w:tc>
          <w:tcPr>
            <w:tcW w:type="pct" w:w="3500"/>
          </w:tcPr>
          <w:p>
            <w:pPr>
              <w:autoSpaceDE w:val="0"/>
              <w:autoSpaceDN w:val="0"/>
            </w:pPr>
            <w:r/>
            <w:r>
              <w:rPr>
                <w:rFonts w:ascii="맑은 고딕" w:hAnsi="맑은 고딕" w:eastAsia="맑은 고딕" w:cs="맑은 고딕"/>
                <w:b w:val="0"/>
                <w:color w:val="000000"/>
                <w:sz w:val="19"/>
              </w:rPr>
              <w:t>② 제1항 각 호의 물건을 몰수할 수 없을 때에는 그 가액(價額)을 추징한다.</w:t>
            </w:r>
          </w:p>
        </w:tc>
      </w:tr>
    </w:tbl>
    <w:p>
      <w:pPr>
        <w:pStyle w:val="2"/>
      </w:pPr>
      <w:r>
        <w:t>핵심 요약</w:t>
      </w:r>
    </w:p>
    <w:p>
      <w:pPr/>
      <w:r>
        <w:t>불법 매립을 목적으로 폐기물을 받고 돈을 받았다는 사정만으로는 그 돈을 몰수·추징할 수 없습니다.</w:t>
      </w:r>
    </w:p>
    <w:p>
      <w:pPr/>
      <w:r>
        <w:t>그 돈이 범죄행위인 불법 매립으로 인해 취득된 것이라는 점까지 구체적으로 입증되어야 몰수·추징이 가능합니다.</w:t>
      </w:r>
    </w:p>
    <w:p>
      <w:pPr/>
      <w:r>
        <w:t>정상적인 처리를 전제로 받은 돈이라는 반박이 있으면 그 부분을 심리해야 하므로, 대가의 성격을 따지지 않은 몰수는 위법할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