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담뱃세 인상 전 임시 이동은 ‘제조장 반출’이 아닙니다 (폐기물부담금). (2021두35834)</w:t>
      </w:r>
    </w:p>
    <w:p>
      <w:pPr>
        <w:pStyle w:val="law1"/>
        <w:autoSpaceDE w:val="0"/>
        <w:autoSpaceDN w:val="0"/>
        <w:spacing w:after="160"/>
      </w:pPr>
      <w:r>
        <w:rPr>
          <w:rFonts w:ascii="맑은 고딕" w:hAnsi="맑은 고딕" w:eastAsia="맑은 고딕" w:cs="맑은 고딕"/>
          <w:color w:val="000000"/>
        </w:rPr>
        <w:t>대법원 2021두35834 (2024.05.23 선고)</w:t>
      </w:r>
    </w:p>
    <w:p>
      <w:pPr>
        <w:autoSpaceDE w:val="0"/>
        <w:autoSpaceDN w:val="0"/>
        <w:spacing w:after="120"/>
      </w:pPr>
      <w:r>
        <w:rPr>
          <w:rFonts w:ascii="맑은 고딕" w:hAnsi="맑은 고딕" w:eastAsia="맑은 고딕" w:cs="맑은 고딕"/>
          <w:color w:val="000000"/>
        </w:rPr>
        <w:t>○ 담뱃세 인상 전에 담배를 일시적인 방편으로 마련한 장소로 옮긴 것을 ‘제조장에서 반출’로 보아 폐기물부담금 등을 물릴 수 있는지가 문제된 사건입니다. 대법원은 이를 반출로 볼 수 없고, 반출 시점의 개정 세율이 적용된다고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담뱃세 인상 전 인상차액을 노려 임시 장소로 담배를 옮긴 것도 ‘제조장 반출’인가요?</w:t>
            </w:r>
          </w:p>
          <w:p>
            <w:pPr>
              <w:autoSpaceDE w:val="0"/>
              <w:autoSpaceDN w:val="0"/>
            </w:pPr>
            <w:r>
              <w:rPr>
                <w:rFonts w:ascii="맑은 고딕" w:hAnsi="맑은 고딕" w:eastAsia="맑은 고딕" w:cs="맑은 고딕"/>
                <w:b w:val="0"/>
                <w:color w:val="000000"/>
                <w:sz w:val="19"/>
              </w:rPr>
              <w:t>A. 아니요. 통상적 거래에서 벗어나 일시적 방편으로 옮긴 것에 불과하면 제조장에서 반출한 것으로 볼 수 없습니다.</w:t>
            </w:r>
          </w:p>
          <w:p>
            <w:pPr>
              <w:autoSpaceDE w:val="0"/>
              <w:autoSpaceDN w:val="0"/>
            </w:pPr>
          </w:p>
          <w:p>
            <w:pPr>
              <w:autoSpaceDE w:val="0"/>
              <w:autoSpaceDN w:val="0"/>
            </w:pPr>
            <w:r>
              <w:rPr>
                <w:rFonts w:ascii="맑은 고딕" w:hAnsi="맑은 고딕" w:eastAsia="맑은 고딕" w:cs="맑은 고딕"/>
                <w:b/>
                <w:color w:val="000000"/>
                <w:sz w:val="19"/>
              </w:rPr>
              <w:t>Q. 미납세 반출 후 시행일 뒤에 다시 반출한 담배에는 어떤 세율이 적용되나요?</w:t>
            </w:r>
          </w:p>
          <w:p>
            <w:pPr>
              <w:autoSpaceDE w:val="0"/>
              <w:autoSpaceDN w:val="0"/>
            </w:pPr>
            <w:r>
              <w:rPr>
                <w:rFonts w:ascii="맑은 고딕" w:hAnsi="맑은 고딕" w:eastAsia="맑은 고딕" w:cs="맑은 고딕"/>
                <w:b w:val="0"/>
                <w:color w:val="000000"/>
                <w:sz w:val="19"/>
              </w:rPr>
              <w:t>A. 반출 시점에 시행되는 개정규정의 세율이 적용되며, 이 법리는 폐기물부담금 등 ‘제조장에서 반출’ 요건 해석에도 똑같이 적용됩니다.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2021두35834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주식회사 · 피고 한국환경공단 외 2인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2014. 9. 2.까지 다음과 같은 방식으로 담배를 제조·판매하면서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당초 담배는 개별소비세의 과세대상이 아니었고, 그중 ‘제1종 궐련’에 20개비당 641원의 담배소비세와 담배소비세액의 100분의 50에 상당하는 지방교육세가 부과되었다.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그런데 2014. 12. 23. 법률 제12846호로 개정된 개별소비세법(이하 ‘개정 후 개별소비세법’이라고 한다)은 제1조 제2항 제6호를 신설하여 ‘제1종 궐련’에 대하여 20개비당 594원의 개별소비세를 부과하도록 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원고는 개정 후 지방세법과 개정 후 개별소비세법(이하 ‘개정 후 지방세법 등’이라고 한다)이 시행되기 전인 2014. 9. 3.부터 2014. 12. 31.까지 사이에 이 사건 제조공장에서 제조한 담배 104,634,000갑을 보세창고가 아닌 양산시 □□읍에 있는 다른 창고(이하 ‘이 사건 임시창고’라 …</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자원의 절약과 재활용촉진에 관한 법률 시행령 부칙(2015. 2. 3.) 제2조가 헌법상 원칙적으로 금지되는 진정소급입법에 해당하는지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상고이유에 대한 판단 이 사건 제1담배 부분에 관하여 2014. 12. 31. 이전 이 사건 임시창고에서 이 사건 각 물류센터로 옮긴 담배 부분 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② 각 부담금은 담배소비세 등과 마찬가지로 담배 판매가격의 원가를 구성함으로써 실질적으로 소비자에게 그 부담이 최종적으로 전가된다.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폐기물부담금의 부과요건사실은 ‘제조장 또는 보세구역에서 반출’이므로, 담배가 ‘제조장 또는 보세구역에서 반출되는 때’에 담배 제조업자의 폐기물부담금 납부의무가 성립한다.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[별표 2] 제5호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자원의 절약과 재활용촉진에 관한 법률 시행령 부칙 제2조</w:t>
            </w:r>
          </w:p>
        </w:tc>
        <w:tc>
          <w:tcPr>
            <w:tcW w:type="pct" w:w="3500"/>
          </w:tcPr>
          <w:p>
            <w:pPr>
              <w:autoSpaceDE w:val="0"/>
              <w:autoSpaceDN w:val="0"/>
            </w:pPr>
            <w:r/>
            <w:r>
              <w:rPr>
                <w:rFonts w:ascii="맑은 고딕" w:hAnsi="맑은 고딕" w:eastAsia="맑은 고딕" w:cs="맑은 고딕"/>
                <w:b w:val="0"/>
                <w:color w:val="000000"/>
                <w:sz w:val="19"/>
              </w:rPr>
              <w:t>법 제12조제1항에 따라 제조업자 또는 수입업자가 내야 하는 비용(이하 "폐기물부담금"이라 한다)의 산출기준은 별표 2와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 제1호</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국민건강증진법 부칙 제2조</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제1항에 따라 출연하여야 하는 금액은 제조업자가 제조하여 판매하는 담배 중 궐련(「지방세법」 제48조제2항제1호가목에 따른 담배로서, 「지방세법」 제54조에 따라 담배소비세가 면제되는 것과 같은 법 제63조제1항제1호 및 제2호에 따라 담배소비세액이 공제 또는 환급되는 것은 제외한다. 이하 이 조에서 같다) 20개비당 5원으로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부칙 제1조</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 ② 제1항에 따라 출연하여야 하는 금액은 제조업자가 제조하여 판매하는 담배 중 궐련(「지방세법」 제48조제2항제1호가목에 따른 담배로서,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①법 제11조의3제1항에 따라 담배제조업을 양도하려는 자는 양도계약일부터 7일 이내에 별지 제4호서식의 담배제조업의 양도ㆍ양수신고서에 다음 각 호의 서류를 첨부하여 재정경제부장관에게 신고하여야 한다. ②법 제11조의3제1항에 따라 제조업자가 다른 법인과 합병하려는 경우에는 합병계약일부터 7일 이내에 별지 제5호서식의 담배제조업의 합병신고서에 다음 각 호의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제52조 제1항 제1호 목</w:t>
            </w:r>
          </w:p>
        </w:tc>
        <w:tc>
          <w:tcPr>
            <w:tcW w:type="pct" w:w="3500"/>
          </w:tcPr>
          <w:p>
            <w:pPr>
              <w:autoSpaceDE w:val="0"/>
              <w:autoSpaceDN w:val="0"/>
            </w:pPr>
            <w:r/>
            <w:r>
              <w:rPr>
                <w:rFonts w:ascii="맑은 고딕" w:hAnsi="맑은 고딕" w:eastAsia="맑은 고딕" w:cs="맑은 고딕"/>
                <w:b w:val="0"/>
                <w:color w:val="000000"/>
                <w:sz w:val="19"/>
              </w:rPr>
              <w:t>① 담배소비세의 세율은 다음 각 호와 같다. 다만, 연초(연초를 원료로 한 니코틴을 포함한다)를 원료의 전부 또는 일부로 하여 제조한 담배가 아닌 담배에 대하여는 다음 각 호의 세율에 100분의 50을 곱한 세율을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제53조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담배에 대하여는 담배소비세를 징수하지 아니한다. ② 제1항에 따라 반입된 담배에 대해서는 그 반입장소를 제조장 또는 보세구역으로 보고, 반입자를 제조자 또는 수입판매업자로 보아 담배소비세의 부과 또는 면제에 관한 규정을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w:t>
            </w:r>
          </w:p>
        </w:tc>
        <w:tc>
          <w:tcPr>
            <w:tcW w:type="pct" w:w="3500"/>
          </w:tcPr>
          <w:p>
            <w:pPr>
              <w:autoSpaceDE w:val="0"/>
              <w:autoSpaceDN w:val="0"/>
            </w:pPr>
            <w:r/>
            <w:r>
              <w:rPr>
                <w:rFonts w:ascii="맑은 고딕" w:hAnsi="맑은 고딕" w:eastAsia="맑은 고딕" w:cs="맑은 고딕"/>
                <w:b w:val="0"/>
                <w:color w:val="000000"/>
                <w:sz w:val="19"/>
              </w:rPr>
              <w:t>① 제조자 또는 수입판매업자가 담배를 다음 각 호의 어느 하나의 용도에 제공하는 경우에는 담배소비세를 면제한다. ② 입국자가 반입하는 담배로서 대통령령으로 정하는 범위의 담배에 대해서는 담배소비세를 면제한다.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제1항 제4호</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부칙 제2조</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 ② 지방자치단체의 장은 지방교육투자재원의 조달을 위하여 필요한 경우에는 해당 지방자치단체의 조례로 정하는 바에 따라 지방교육세의 세율을 제1항(같은 항 제3호는 제외한다)의 표준세율의 100분의 50의 범위에서 가감할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이 법에 따른 지방세를 부과ㆍ징수하는 지방자치단체는 「지방세기본법」 제8조 및 제9조의 지방자치단체의 세목 구분에 따라 해당 지방세의 과세 주체가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제2항 제6호</w:t>
            </w:r>
          </w:p>
        </w:tc>
        <w:tc>
          <w:tcPr>
            <w:tcW w:type="pct" w:w="3500"/>
          </w:tcPr>
          <w:p>
            <w:pPr>
              <w:autoSpaceDE w:val="0"/>
              <w:autoSpaceDN w:val="0"/>
            </w:pPr>
            <w:r/>
            <w:r>
              <w:rPr>
                <w:rFonts w:ascii="맑은 고딕" w:hAnsi="맑은 고딕" w:eastAsia="맑은 고딕" w:cs="맑은 고딕"/>
                <w:b w:val="0"/>
                <w:color w:val="000000"/>
                <w:sz w:val="19"/>
              </w:rPr>
              <w:t>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부칙 제2조</w:t>
            </w:r>
          </w:p>
        </w:tc>
        <w:tc>
          <w:tcPr>
            <w:tcW w:type="pct" w:w="3500"/>
          </w:tcPr>
          <w:p>
            <w:pPr>
              <w:autoSpaceDE w:val="0"/>
              <w:autoSpaceDN w:val="0"/>
            </w:pPr>
            <w:r/>
            <w:r>
              <w:rPr>
                <w:rFonts w:ascii="맑은 고딕" w:hAnsi="맑은 고딕" w:eastAsia="맑은 고딕" w:cs="맑은 고딕"/>
                <w:b w:val="0"/>
                <w:color w:val="000000"/>
                <w:sz w:val="19"/>
              </w:rPr>
              <w:t>① 개별소비세는 특정한 물품, 특정한 장소 입장행위(入場行爲), 특정한 장소에서의 유흥음식행위(遊興飮食行爲) 및 특정한 장소에서의 영업행위에 대하여 부과한다. 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제2항</w:t>
            </w:r>
          </w:p>
        </w:tc>
        <w:tc>
          <w:tcPr>
            <w:tcW w:type="pct" w:w="3500"/>
          </w:tcPr>
          <w:p>
            <w:pPr>
              <w:autoSpaceDE w:val="0"/>
              <w:autoSpaceDN w:val="0"/>
            </w:pPr>
            <w:r/>
            <w:r>
              <w:rPr>
                <w:rFonts w:ascii="맑은 고딕" w:hAnsi="맑은 고딕" w:eastAsia="맑은 고딕" w:cs="맑은 고딕"/>
                <w:b w:val="0"/>
                <w:color w:val="000000"/>
                <w:sz w:val="19"/>
              </w:rPr>
              <w:t>이 규칙에서 정한 것 외에 위원회의 운영에 필요한 사항은 위원회의 규정으로 정한다.</w:t>
            </w:r>
          </w:p>
        </w:tc>
      </w:tr>
    </w:tbl>
    <w:p>
      <w:pPr>
        <w:pStyle w:val="2"/>
      </w:pPr>
      <w:r>
        <w:t>핵심 요약</w:t>
      </w:r>
    </w:p>
    <w:p>
      <w:pPr/>
      <w:r>
        <w:t>담뱃세 인상 직전에 세금 차액을 노리고 담배를 일시적 방편으로 마련한 창고로 옮긴 것은 '제조장에서 반출'한 것으로 인정되지 않습니다.</w:t>
      </w:r>
    </w:p>
    <w:p>
      <w:pPr/>
      <w:r>
        <w:t>대법원은 통상적인 거래 형태를 벗어난 임시 이동은 반출이 아니며, 실제로 다시 반출한 시점의 개정 세율이 적용된다고 보았습니다.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https://www.law.go.kr/판례/(2021두35834)</w:t>
      </w:r>
    </w:p>
    <w:p>
      <w:pPr>
        <w:autoSpaceDE w:val="0"/>
        <w:autoSpaceDN w:val="0"/>
        <w:spacing w:before="8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