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 (2023두31454)</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울주군수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이를 지적하는 상고이유 주장은 이유 있다.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2"/>
      </w:pPr>
      <w:r>
        <w:t>핵심 요약</w:t>
      </w:r>
    </w:p>
    <w:p>
      <w:pPr/>
      <w:r>
        <w:t>인·허가받은 공사현장의 성토재로 폐기물을 재활용하는 R-7-1 유형에서도 토양오염우려기준을 지켜야 합니다.</w:t>
      </w:r>
    </w:p>
    <w:p>
      <w:pPr/>
      <w:r>
        <w:t>대법원은 재활용 기준을 충족했더라도 성토한 부분의 토양오염물질이 우려기준을 넘으면 폐기물 재활용자의 준수사항을 위반한 것이라고 보았습니다.</w:t>
      </w:r>
    </w:p>
    <w:p>
      <w:pPr/>
      <w:r>
        <w:t>성토재 재활용 시에는 재활용 기준뿐 아니라 토양오염우려기준까지 함께 충족해야 수거·처리 조치명령을 피할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