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폐기물을 인·허가받은 건축·토목공사현장의 성토재로 재활용하는 방식(R-7-1)에서, 재활용 기준([별표 5의3])은 충족했더라도 토양오염우려기준을 초과하면 폐기물관리법 위반인지가 문제된 사건입니다. 대법원은 성토재 재활용에도 준수사항([별표 5의4])의 토양오염우려기준이 적용된다고 보았습니다.</w:t>
      </w:r>
    </w:p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/>
    <w:p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/>
    <w:p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/>
    <w:p>
      <w:r>
        <w:rPr>
          <w:rFonts w:ascii="맑은 고딕" w:hAnsi="맑은 고딕" w:eastAsia="맑은 고딕" w:cs="맑은 고딕"/>
          <w:color w:val="000000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/>
    <w:p>
      <w:r>
        <w:rPr>
          <w:rFonts w:ascii="맑은 고딕" w:hAnsi="맑은 고딕" w:eastAsia="맑은 고딕" w:cs="맑은 고딕"/>
          <w:color w:val="000000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구 폐기물관리법 · 관련 시행규칙</w:t>
      </w:r>
    </w:p>
    <w:p>
      <w:r>
        <w:rPr>
          <w:rFonts w:ascii="맑은 고딕" w:hAnsi="맑은 고딕" w:eastAsia="맑은 고딕" w:cs="맑은 고딕"/>
          <w:color w:val="000000"/>
        </w:rPr>
        <w:t>구 폐기물관리법 제1조 · 제13조의2 제1항·제3항 · 제48조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폐기물관리법 시행규칙 제14조의3 제1항 [별표 5의3] · 제5항 [별표 5의4]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토양환경보전법 시행규칙 [별표 3] 토양오염우려기준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본 정리는 판결문(대법원 2023두31454)을 요약한 참고자료이며, 구체적 사안은 원문과 전문가 검토가 필요합니다.</w:t>
      </w:r>
    </w:p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 및 제2항 각 호의 원칙을 지키기 위하여 필요한 오염 예방 및 저감 방법의 종류와 정도, 폐기물의 취급 기준과 방법 등의 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폐기물이 제13조의2에 따른 재활용 원칙 및 준수사항에 맞지 아니하게 처리된 경우, 폐기물을 처리한 자 등에게 기간을 정하여 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폐기물의 재활용 유형별 재활용 기준. R-7 유형 중 일부 세부유형은 재활용 대상 폐기물의 오염물질이 토양오염우려기준 이내여야 한다고 명시하나, 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폐기물을 토양 등에 접촉시켜 성토재 등으로 재활용하는 경우 물리적·화학적·생물학적 처리로 토양오염물질을 처리하여 사람·환경에 위해가 없도록 하여야 하고[제1호(가)목1)바)], 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지역별 토양오염우려기준. 이 사건 임야는 2지역에 해당하며, 성토재에서 2지역 기준치를 초과한 카드뮴·아연·불소가 검출되었다.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위 문구는 판결에 적용된 구법(개정 전) 기준이며, 현행법에서는 위임 표현이 ‘기후에너지환경부령’으로 바뀌고 제13조의2 제1항에 제4호가 신설되는 등 조문 번호가 일부 조정되었습니다.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