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spacing w:after="120"/>
      </w:pPr>
      <w:r>
        <w:rPr>
          <w:rFonts w:ascii="맑은 고딕" w:hAnsi="맑은 고딕" w:eastAsia="맑은 고딕" w:cs="맑은 고딕"/>
          <w:color w:val="000000"/>
        </w:rPr>
        <w:t>폐기물을 인·허가받은 건축·토목공사현장의 성토재로 재활용하는 방식(R-7-1)에서, 재활용 기준([별표 5의3])은 충족했더라도 토양오염우려기준을 초과하면 폐기물관리법 위반인지가 문제된 사건입니다. 대법원은 성토재 재활용에도 준수사항([별표 5의4])의 토양오염우려기준이 적용된다고 보았습니다.</w:t>
      </w:r>
    </w:p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/>
    <w:p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/>
    <w:p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r>
        <w:rPr>
          <w:rFonts w:ascii="맑은 고딕" w:hAnsi="맑은 고딕" w:eastAsia="맑은 고딕" w:cs="맑은 고딕"/>
          <w:color w:val="000000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/>
    <w:p>
      <w:r>
        <w:rPr>
          <w:rFonts w:ascii="맑은 고딕" w:hAnsi="맑은 고딕" w:eastAsia="맑은 고딕" w:cs="맑은 고딕"/>
          <w:color w:val="000000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/>
    <w:p>
      <w:r>
        <w:rPr>
          <w:rFonts w:ascii="맑은 고딕" w:hAnsi="맑은 고딕" w:eastAsia="맑은 고딕" w:cs="맑은 고딕"/>
          <w:color w:val="000000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pStyle w:val="cite1"/>
      </w:pPr>
      <w:r>
        <w:rPr>
          <w:rFonts w:ascii="맑은 고딕" w:hAnsi="맑은 고딕" w:eastAsia="맑은 고딕" w:cs="맑은 고딕"/>
          <w:color w:val="000000"/>
        </w:rPr>
        <w:t>구 폐기물관리법 · 관련 시행규칙</w:t>
      </w:r>
    </w:p>
    <w:p>
      <w:r>
        <w:rPr>
          <w:rFonts w:ascii="맑은 고딕" w:hAnsi="맑은 고딕" w:eastAsia="맑은 고딕" w:cs="맑은 고딕"/>
          <w:color w:val="000000"/>
        </w:rPr>
        <w:t>구 폐기물관리법 제1조 · 제13조의2 제1항·제3항 · 제48조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폐기물관리법 시행규칙 제14조의3 제1항 [별표 5의3] · 제5항 [별표 5의4]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토양환경보전법 시행규칙 [별표 3] 토양오염우려기준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본 정리는 판결문(대법원 2023두31454)을 요약한 참고자료이며, 구체적 사안은 원문과 전문가 검토가 필요합니다.</w:t>
      </w:r>
    </w:p>
    <w:p/>
    <w:p/>
    <w:p>
      <w:pPr>
        <w:pStyle w:val="2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제1항 및 제2항 각 호의 원칙을 지키기 위하여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 필요한 오염 예방 및 저감 방법의 종류와 정도, 폐기물의 취급 기준과 방법 등의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제13조의2에 따른 재활용 원칙 및 준수사항에 맞지 아니하게 처리된 경우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, 폐기물을 처리한 자 등에게 기간을 정하여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폐기물의 재활용 유형별 재활용 기준. R-7 유형 중 일부 세부유형은 재활용 대상 폐기물의 오염물질이 토양오염우려기준 이내여야 한다고 명시하나,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폐기물을 토양 등에 접촉시켜 성토재 등으로 재활용하는 경우 물리적·화학적·생물학적 처리로 토양오염물질을 처리하여 사람·환경에 위해가 없도록 하여야 하고[제1호(가)목1)바)],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지역별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토양오염우려기준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. 이 사건 임야는 2지역에 해당하며, 성토재에서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2지역 기준치를 초과한 카드뮴·아연·불소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가 검출되었다.</w:t>
            </w:r>
          </w:p>
        </w:tc>
      </w:tr>
    </w:tbl>
    <w:p>
      <w:pPr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위 문구는 판결에 적용된 구법(개정 전) 기준이며, 현행법에서는 위임 표현이 ‘기후에너지환경부령’으로 바뀌고 제13조의2 제1항에 제4호가 신설되는 등 조문 번호가 일부 조정되었습니다.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