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대기배출시설 설치허가도 중대한 공익상 필요가 있으면 거부할 수 있습니다</w:t>
      </w:r>
    </w:p>
    <w:p>
      <w:pPr>
        <w:autoSpaceDN w:val="0"/>
        <w:autoSpaceDE w:val="0"/>
        <w:pStyle w:val="law1"/>
        <w:spacing w:after="160"/>
      </w:pPr>
      <w:r>
        <w:rPr>
          <w:rFonts w:ascii="맑은 고딕" w:hAnsi="맑은 고딕" w:eastAsia="맑은 고딕" w:cs="맑은 고딕"/>
          <w:color w:val="000000"/>
        </w:rPr>
        <w:t>대법원 2012두22799 (2013.05.09 선고)</w:t>
      </w:r>
    </w:p>
    <w:p>
      <w:pPr>
        <w:autoSpaceDN w:val="0"/>
        <w:autoSpaceDE w:val="0"/>
        <w:spacing w:after="120"/>
      </w:pPr>
      <w:r>
        <w:rPr>
          <w:rFonts w:ascii="맑은 고딕" w:hAnsi="맑은 고딕" w:eastAsia="맑은 고딕" w:cs="맑은 고딕"/>
          <w:color w:val="000000"/>
        </w:rPr>
        <w:t>○ 대기배출시설 설치허가 신청이 법이 정한 허가기준에 맞고 설치제한사유에도 해당하지 않으면 행정청이 반드시 허가해야 하는지가 문제된 사건입니다. 대법원은 원칙적으로는 허가하여야 하지만, 시행령이 정한 제한사유에 준하는 사유로서 중대한 공익상의 필요가 있을 때에는 허가를 거부할 수 있다고 보았습니다. 함께 수도권 총량관리사업장 설치허가는 재량행위라고 판단하였습니다.</w:t>
      </w:r>
    </w:p>
    <w:p>
      <w:pPr>
        <w:autoSpaceDN w:val="0"/>
        <w:autoSpaceDE w:val="0"/>
      </w:pP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대기배출시설 설치허가는 기속행위인가요, 재량행위인가요?</w:t>
            </w:r>
          </w:p>
          <w:p>
            <w:pPr>
              <w:autoSpaceDN w:val="0"/>
              <w:autoSpaceDE w:val="0"/>
            </w:pPr>
            <w:r>
              <w:rPr>
                <w:rFonts w:ascii="맑은 고딕" w:hAnsi="맑은 고딕" w:eastAsia="맑은 고딕" w:cs="맑은 고딕"/>
                <w:color w:val="000000"/>
                <w:sz w:val="19"/>
              </w:rPr>
              <w:t>A. 원칙은 기속에 가깝습니다. 허가기준(법 제23조 제7항)에 맞고 설치제한사유(법 제23조 제8항, 시행령 제12조)에 해당하지 않으면 원칙적으로 허가하여야 합니다.</w:t>
            </w:r>
          </w:p>
          <w:p>
            <w:pPr>
              <w:autoSpaceDN w:val="0"/>
              <w:autoSpaceDE w:val="0"/>
            </w:pPr>
          </w:p>
          <w:p>
            <w:pPr>
              <w:autoSpaceDN w:val="0"/>
              <w:autoSpaceDE w:val="0"/>
            </w:pPr>
            <w:r>
              <w:rPr>
                <w:rFonts w:ascii="맑은 고딕" w:hAnsi="맑은 고딕" w:eastAsia="맑은 고딕" w:cs="맑은 고딕"/>
                <w:b/>
                <w:color w:val="000000"/>
                <w:sz w:val="19"/>
              </w:rPr>
              <w:t>Q. 그러면 시행령 제12조의 제한사유에 해당하지 않으면 무조건 허가를 받을 수 있나요?</w:t>
            </w:r>
          </w:p>
          <w:p>
            <w:pPr>
              <w:autoSpaceDN w:val="0"/>
              <w:autoSpaceDE w:val="0"/>
            </w:pPr>
            <w:r>
              <w:rPr>
                <w:rFonts w:ascii="맑은 고딕" w:hAnsi="맑은 고딕" w:eastAsia="맑은 고딕" w:cs="맑은 고딕"/>
                <w:color w:val="000000"/>
                <w:sz w:val="19"/>
              </w:rPr>
              <w:t>A. 아닙니다. 시행령 제12조 각 호에 준하는 사유로서 환경기준 유지가 곤란하거나 주민의 건강·재산, 동식물의 생육에 심각한 위해를 끼칠 우려가 있는 등 중대한 공익상의 필요가 있으면 거부할 수 있습니다.</w:t>
            </w:r>
          </w:p>
          <w:p>
            <w:pPr>
              <w:autoSpaceDN w:val="0"/>
              <w:autoSpaceDE w:val="0"/>
            </w:pPr>
          </w:p>
          <w:p>
            <w:pPr>
              <w:autoSpaceDN w:val="0"/>
              <w:autoSpaceDE w:val="0"/>
            </w:pPr>
            <w:r>
              <w:rPr>
                <w:rFonts w:ascii="맑은 고딕" w:hAnsi="맑은 고딕" w:eastAsia="맑은 고딕" w:cs="맑은 고딕"/>
                <w:b/>
                <w:color w:val="000000"/>
                <w:sz w:val="19"/>
              </w:rPr>
              <w:t>Q. 수도권 대기관리권역의 총량관리사업장 설치허가도 마찬가지인가요?</w:t>
            </w:r>
          </w:p>
          <w:p>
            <w:pPr>
              <w:autoSpaceDN w:val="0"/>
              <w:autoSpaceDE w:val="0"/>
            </w:pPr>
            <w:r>
              <w:rPr>
                <w:rFonts w:ascii="맑은 고딕" w:hAnsi="맑은 고딕" w:eastAsia="맑은 고딕" w:cs="맑은 고딕"/>
                <w:color w:val="000000"/>
                <w:sz w:val="19"/>
              </w:rPr>
              <w:t>A. 다릅니다. 총량관리사업장 설치허가·변경허가는 총량관리대상 오염물질을 일정량 넘겨 배출할 수 있는 특정한 권리를 설정해 주는 행위여서, 처분 여부와 내용의 결정이 행정청의 재량에 속합니다.</w:t>
            </w:r>
          </w:p>
        </w:tc>
      </w:tr>
    </w:tbl>
    <w:p>
      <w:pPr>
        <w:autoSpaceDN w:val="0"/>
        <w:autoSpaceDE w:val="0"/>
      </w:pPr>
    </w:p>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2012두22799</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2013.05.09</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 주식회사 · 피고 경기도지사</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(대기배출시설설치 불허가처분등 취소)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서울고법 2012누3493 (2012. 9. 5.)</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중 피고 패소 부분 파기환송 · 나머지 상고기각</w:t>
            </w:r>
          </w:p>
        </w:tc>
      </w:tr>
    </w:tbl>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원고는 경기 이천시에 열병합발전소를 설치하기 위하여 피고에게 구 수도권 대기환경개선에 관한 특별법에 따른 대기오염물질 총량관리사업장 설치변경허가와 구 대기환경보전법 제23조에 따른 대기배출시설 설치허가를 신청하였다.</w:t>
      </w:r>
      <w:r>
        <w:rPr>
          <w:rFonts w:ascii="맑은 고딕" w:hAnsi="맑은 고딕" w:eastAsia="맑은 고딕" w:cs="맑은 고딕"/>
          <w:color w:val="000000"/>
        </w:rPr>
        <w:br/>
      </w:r>
      <w:r>
        <w:rPr>
          <w:rFonts w:ascii="맑은 고딕" w:hAnsi="맑은 고딕" w:eastAsia="맑은 고딕" w:cs="맑은 고딕"/>
          <w:color w:val="000000"/>
        </w:rPr>
        <w:t>② 이 사건 발전소 반경 1km 이내에는 학교와 아파트 단지가 있고, 인근에 이미 제1종 지구단위계획이 수립되어 있으며 부발역사 및 가좌지구에 대한 개발이 예정되어 있어 장래 반경 1km 안의 상주인구가 2만 명 이상이 될 것으로 예상되었다.</w:t>
      </w:r>
      <w:r>
        <w:rPr>
          <w:rFonts w:ascii="맑은 고딕" w:hAnsi="맑은 고딕" w:eastAsia="맑은 고딕" w:cs="맑은 고딕"/>
          <w:color w:val="000000"/>
        </w:rPr>
        <w:br/>
      </w:r>
      <w:r>
        <w:rPr>
          <w:rFonts w:ascii="맑은 고딕" w:hAnsi="맑은 고딕" w:eastAsia="맑은 고딕" w:cs="맑은 고딕"/>
          <w:color w:val="000000"/>
        </w:rPr>
        <w:t>③ 또한 이 사건 발전소에서 불과 300m 떨어진 곳에 이천시민에게 먹는 물을 공급하는 상수도사업소가 위치하고 있었다.</w:t>
      </w:r>
      <w:r>
        <w:rPr>
          <w:rFonts w:ascii="맑은 고딕" w:hAnsi="맑은 고딕" w:eastAsia="맑은 고딕" w:cs="맑은 고딕"/>
          <w:color w:val="000000"/>
        </w:rPr>
        <w:br/>
      </w:r>
      <w:r>
        <w:rPr>
          <w:rFonts w:ascii="맑은 고딕" w:hAnsi="맑은 고딕" w:eastAsia="맑은 고딕" w:cs="맑은 고딕"/>
          <w:color w:val="000000"/>
        </w:rPr>
        <w:t>④ 피고는 위 각 신청을 모두 거부하는 처분을 하였고, 원고는 그 취소를 구하는 소를 제기하였다.</w:t>
      </w:r>
      <w:r>
        <w:rPr>
          <w:rFonts w:ascii="맑은 고딕" w:hAnsi="맑은 고딕" w:eastAsia="맑은 고딕" w:cs="맑은 고딕"/>
          <w:color w:val="000000"/>
        </w:rPr>
        <w:br/>
      </w:r>
      <w:r>
        <w:rPr>
          <w:rFonts w:ascii="맑은 고딕" w:hAnsi="맑은 고딕" w:eastAsia="맑은 고딕" w:cs="맑은 고딕"/>
          <w:color w:val="000000"/>
        </w:rPr>
        <w:t>⑤ 원심은 총량관리사업장 설치변경허가 거부처분은 적법하다고 보았으나, 대기배출시설 설치허가는 기속행위라는 전제에서 허가제한사유에 해당하지 않는다는 이유로 그 거부처분은 위법하다고 판단하였다.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rPr>
        <w:t>이 사건의 쟁점은, 구 수도권 대기환경개선에 관한 특별법 제14조 제1항에서 정한 대기오염물질 총량관리사업장 설치의 허가 또는 변경허가가 행정청의 재량에 속하는지 여부와, 배출시설 설치허가 신청이 구 대기환경보전법 제23조 제5항의 허가기준에 부합하고 같은 조 제6항 및 같은 법 시행령 제12조의 허가제한사유에도 해당하지 않는 경우 행정청이 그 허가를 거부할 수 있는지 여부이다.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총량관리사업장 설치변경허가가 재량행위임을 전제로, 가까운 장래에 상주인구가 2만 명 이상이 될 것으로 예상되는 사정 등을 감안하여 신청을 거부한 처분에 재량권의 일탈·남용이 없다고 보았다. 반면 대기배출시설 설치허가는 기속행위라는 전제 아래, 시행령 제12조가 정한 제한사유에 해당하지 아니한다는 사정만을 들어 그 거부처분이 위법하다고 판단하였다.</w:t>
      </w:r>
      <w:r>
        <w:rPr>
          <w:rFonts w:ascii="맑은 고딕" w:hAnsi="맑은 고딕" w:eastAsia="맑은 고딕" w:cs="맑은 고딕"/>
          <w:color w:val="000000"/>
        </w:rPr>
        <w:br/>
      </w:r>
      <w:r>
        <w:rPr>
          <w:rFonts w:ascii="맑은 고딕" w:hAnsi="맑은 고딕" w:eastAsia="맑은 고딕" w:cs="맑은 고딕"/>
          <w:color w:val="000000"/>
        </w:rPr>
        <w:t>② 대법원의 판단 총량관리사업장 설치변경허가에 관한 원심의 판단은 정당하나, 대기배출시설 설치허가에 관한 원심의 판단은 아래와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t>③ 구 수도권대기환경특별법 제14조 제1항에서 정한 대기오염물질 총량관리사업장 설치의 허가 또는 변경허가는, 특정인에게 인구가 밀집되고 대기오염이 심각하다고 인정되는 수도권 대기관리권역에서 총량관리대상 오염물질을 일정량을 초과하여 배출할 수 있는 특정한 권리를 설정하여 주는 행위로서 그 처분의 여부 및 내용의 결정은 행정청의 재량에 속한다.</w:t>
      </w:r>
      <w:r>
        <w:rPr>
          <w:rFonts w:ascii="맑은 고딕" w:hAnsi="맑은 고딕" w:eastAsia="맑은 고딕" w:cs="맑은 고딕"/>
          <w:color w:val="000000"/>
        </w:rPr>
        <w:br/>
      </w:r>
      <w:r>
        <w:rPr>
          <w:rFonts w:ascii="맑은 고딕" w:hAnsi="맑은 고딕" w:eastAsia="맑은 고딕" w:cs="맑은 고딕"/>
          <w:color w:val="000000"/>
        </w:rPr>
        <w:t>④ 한편 배출시설 설치허가와 설치제한에 관한 규정들의 문언과 그 체제·형식에 따르면, 환경부장관은 배출시설 설치허가 신청이 구 대기환경보전법 제23조 제5항에서 정한 허가 기준에 부합하고 같은 조 제6항 및 같은 법 시행령 제12조에서 정한 허가제한사유에 해당하지 아니하는 한 원칙적으로 허가를 하여야 한다.</w:t>
      </w:r>
      <w:r>
        <w:rPr>
          <w:rFonts w:ascii="맑은 고딕" w:hAnsi="맑은 고딕" w:eastAsia="맑은 고딕" w:cs="맑은 고딕"/>
          <w:color w:val="000000"/>
        </w:rPr>
        <w:br/>
      </w:r>
      <w:r>
        <w:rPr>
          <w:rFonts w:ascii="맑은 고딕" w:hAnsi="맑은 고딕" w:eastAsia="맑은 고딕" w:cs="맑은 고딕"/>
          <w:color w:val="000000"/>
        </w:rPr>
        <w:t>⑤ 다만 배출시설의 설치는 국민건강이나 환경의 보전에 직접적으로 영향을 미치는 행위라는 점과, 대기오염으로 인한 국민건강이나 환경에 관한 위해를 예방하고 대기환경을 적정하고 지속가능하게 관리·보전하려는 구 대기환경보전법의 목적(제1조) 등을 고려하면, 환경부장관은 같은 법 시행령 제12조 각 호에서 정한 사유에 준하는 사유로서 환경 기준의 유지가 곤란하거나 주민의 건강·재산, 동식물의 생육에 심각한 위해를 끼칠 우려가 있다고 인정되는 등 중대한 공익상의 필요가 있을 때에는 허가를 거부할 수 있다고 보는 것이 타당하다.</w:t>
      </w:r>
      <w:r>
        <w:rPr>
          <w:rFonts w:ascii="맑은 고딕" w:hAnsi="맑은 고딕" w:eastAsia="맑은 고딕" w:cs="맑은 고딕"/>
          <w:color w:val="000000"/>
        </w:rPr>
        <w:br/>
      </w:r>
      <w:r>
        <w:rPr>
          <w:rFonts w:ascii="맑은 고딕" w:hAnsi="맑은 고딕" w:eastAsia="맑은 고딕" w:cs="맑은 고딕"/>
          <w:color w:val="000000"/>
        </w:rPr>
        <w:t>⑥ 이 사건 발전소 반경 1km 이내에 학교와 아파트 단지가 있고 장래 상주인구가 2만 명 이상이 될 것으로 예상되며 300m 거리에 상수도사업소가 있는 사정은, 이 사건 배출시설의 설치로 시행령 제12조 제1호에서 정한 사유에 준하는 정도로 주민의 건강 등에 심각한 위해를 끼칠 우려가 있는 경우에 해당한다고 볼 수 있다.</w:t>
      </w:r>
      <w:r>
        <w:rPr>
          <w:rFonts w:ascii="맑은 고딕" w:hAnsi="맑은 고딕" w:eastAsia="맑은 고딕" w:cs="맑은 고딕"/>
          <w:color w:val="000000"/>
        </w:rPr>
        <w:br/>
      </w:r>
      <w:r>
        <w:rPr>
          <w:rFonts w:ascii="맑은 고딕" w:hAnsi="맑은 고딕" w:eastAsia="맑은 고딕" w:cs="맑은 고딕"/>
          <w:color w:val="000000"/>
        </w:rPr>
        <w:t>⑦ 그럼에도 원심은 배출시설 설치허가가 기속행위에 해당한다는 전제 아래 허가제한사유에 해당하지 아니한다는 사정만을 들어 이 사건 처분이 위법하다고 판단하였으니, 원심판결에는 배출시설 설치허가에 관한 규정의 해석·적용에 관한 법리를 오해하여 판결 결과에 영향을 미친 위법이 있다.</w:t>
      </w:r>
      <w:r>
        <w:rPr>
          <w:rFonts w:ascii="맑은 고딕" w:hAnsi="맑은 고딕" w:eastAsia="맑은 고딕" w:cs="맑은 고딕"/>
          <w:color w:val="000000"/>
        </w:rPr>
        <w:br/>
      </w:r>
      <w:r>
        <w:rPr>
          <w:rFonts w:ascii="맑은 고딕" w:hAnsi="맑은 고딕" w:eastAsia="맑은 고딕" w:cs="맑은 고딕"/>
          <w:color w:val="000000"/>
        </w:rPr>
        <w:t>⑧ 이에 원심판결 중 피고 패소 부분을 파기하여 환송하고, 원고의 상고는 기각한다.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color w:val="000000"/>
        </w:rPr>
        <w:t>① 구 수도권 대기환경개선에 관한 특별법 제14조 제1항에서 정한 대기오염물질 총량관리사업장 설치의 허가 또는 변경허가는 특정인에게 인구가 밀집되고 대기오염이 심각하다고 인정되는 수도권 대기관리권역에서 총량관리대상 오염물질을 일정량을 초과하여 배출할 수 있는 특정한 권리를 설정하여 주는 행위로서 그 처분의 여부 및 내용의 결정은 행정청의 재량에 속한다.</w:t>
      </w:r>
      <w:r>
        <w:rPr>
          <w:rFonts w:ascii="맑은 고딕" w:hAnsi="맑은 고딕" w:eastAsia="맑은 고딕" w:cs="맑은 고딕"/>
          <w:color w:val="000000"/>
        </w:rPr>
        <w:br/>
      </w:r>
      <w:r>
        <w:rPr>
          <w:rFonts w:ascii="맑은 고딕" w:hAnsi="맑은 고딕" w:eastAsia="맑은 고딕" w:cs="맑은 고딕"/>
          <w:color w:val="000000"/>
        </w:rPr>
        <w:t>② 배출시설 설치허가와 설치제한에 관한 규정들의 문언과 그 체제·형식에 따르면 환경부장관은 배출시설 설치허가 신청이 구 대기환경보전법 제23조 제5항에서 정한 허가 기준에 부합하고 같은 조 제6항, 같은 법 시행령 제12조에서 정한 허가제한사유에 해당하지 아니하는 한 원칙적으로 허가를 하여야 한다. 다만 배출시설의 설치는 국민건강이나 환경의 보전에 직접적으로 영향을 미치는 행위라는 점과 구 대기환경보전법의 목적(제1조) 등을 고려하면, 환경부장관은 같은 법 시행령 제12조 각 호에서 정한 사유에 준하는 사유로서 환경 기준의 유지가 곤란하거나 주민의 건강·재산, 동식물의 생육에 심각한 위해를 끼칠 우려가 있다고 인정되는 등 중대한 공익상의 필요가 있을 때에는 허가를 거부할 수 있다고 보는 것이 타당하다.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 제1항</w:t>
            </w:r>
          </w:p>
        </w:tc>
        <w:tc>
          <w:tcPr>
            <w:tcW w:type="pct" w:w="3500"/>
          </w:tcPr>
          <w:p>
            <w:pPr>
              <w:autoSpaceDN w:val="0"/>
              <w:autoSpaceDE w:val="0"/>
            </w:pPr>
            <w:r>
              <w:rPr>
                <w:rFonts w:ascii="맑은 고딕" w:hAnsi="맑은 고딕" w:eastAsia="맑은 고딕" w:cs="맑은 고딕"/>
                <w:color w:val="000000"/>
                <w:sz w:val="19"/>
              </w:rPr>
              <w:t>배출시설을 설치하려는 자는 대통령령으로 정하는 바에 따라 시·도지사의 허가를 받거나 시·도지사에게 신고하여야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 제7항</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(구 제5항)</w:t>
            </w:r>
          </w:p>
        </w:tc>
        <w:tc>
          <w:tcPr>
            <w:tcW w:type="pct" w:w="3500"/>
          </w:tcPr>
          <w:p>
            <w:pPr>
              <w:autoSpaceDN w:val="0"/>
              <w:autoSpaceDE w:val="0"/>
            </w:pPr>
            <w:r>
              <w:rPr>
                <w:rFonts w:ascii="맑은 고딕" w:hAnsi="맑은 고딕" w:eastAsia="맑은 고딕" w:cs="맑은 고딕"/>
                <w:color w:val="000000"/>
                <w:sz w:val="19"/>
              </w:rPr>
              <w:t>제1항과 제2항에 따른 허가 또는 변경허가의 기준은 다음 각 호와 같다.</w:t>
            </w:r>
            <w:r>
              <w:rPr>
                <w:rFonts w:ascii="맑은 고딕" w:hAnsi="맑은 고딕" w:eastAsia="맑은 고딕" w:cs="맑은 고딕"/>
                <w:color w:val="000000"/>
                <w:sz w:val="19"/>
              </w:rPr>
              <w:br/>
            </w:r>
            <w:r>
              <w:rPr>
                <w:rFonts w:ascii="맑은 고딕" w:hAnsi="맑은 고딕" w:eastAsia="맑은 고딕" w:cs="맑은 고딕"/>
                <w:color w:val="000000"/>
                <w:sz w:val="19"/>
              </w:rPr>
              <w:t>1. 배출시설에서 배출되는 오염물질을 배출허용기준 이하로 처리할 수 있을 것</w:t>
            </w:r>
            <w:r>
              <w:rPr>
                <w:rFonts w:ascii="맑은 고딕" w:hAnsi="맑은 고딕" w:eastAsia="맑은 고딕" w:cs="맑은 고딕"/>
                <w:color w:val="000000"/>
                <w:sz w:val="19"/>
              </w:rPr>
              <w:br/>
            </w:r>
            <w:r>
              <w:rPr>
                <w:rFonts w:ascii="맑은 고딕" w:hAnsi="맑은 고딕" w:eastAsia="맑은 고딕" w:cs="맑은 고딕"/>
                <w:color w:val="000000"/>
                <w:sz w:val="19"/>
              </w:rPr>
              <w:t>2. 다른 법률에 따른 배출시설 설치제한에 관한 규정을 위반하지 아니할 것</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 제8항</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(구 제6항)</w:t>
            </w:r>
          </w:p>
        </w:tc>
        <w:tc>
          <w:tcPr>
            <w:tcW w:type="pct" w:w="3500"/>
          </w:tcPr>
          <w:p>
            <w:pPr>
              <w:autoSpaceDN w:val="0"/>
              <w:autoSpaceDE w:val="0"/>
            </w:pPr>
            <w:r>
              <w:rPr>
                <w:rFonts w:ascii="맑은 고딕" w:hAnsi="맑은 고딕" w:eastAsia="맑은 고딕" w:cs="맑은 고딕"/>
                <w:color w:val="000000"/>
                <w:sz w:val="19"/>
              </w:rPr>
              <w:t>배출시설로부터 나오는 특정대기유해물질이나 특별대책지역의 배출시설로부터 나오는 대기오염물질로 인하여 환경기준의 유지가 곤란하거나 주민의 건강·재산, 동식물의 생육에 심각한 위해를 끼칠 우려가 있다고 인정되면 대통령령으로 정하는 바에 따라 그 배출시설의 설치를 제한할 수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제11조 제1항 제1호</w:t>
            </w:r>
          </w:p>
        </w:tc>
        <w:tc>
          <w:tcPr>
            <w:tcW w:type="pct" w:w="3500"/>
          </w:tcPr>
          <w:p>
            <w:pPr>
              <w:autoSpaceDN w:val="0"/>
              <w:autoSpaceDE w:val="0"/>
            </w:pPr>
            <w:r>
              <w:rPr>
                <w:rFonts w:ascii="맑은 고딕" w:hAnsi="맑은 고딕" w:eastAsia="맑은 고딕" w:cs="맑은 고딕"/>
                <w:color w:val="000000"/>
                <w:sz w:val="19"/>
              </w:rPr>
              <w:t>특정대기유해물질이 기후에너지환경부령으로 정하는 기준 이상으로 발생되는 배출시설은 설치허가를 받아야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w:t>
            </w:r>
          </w:p>
        </w:tc>
        <w:tc>
          <w:tcPr>
            <w:tcW w:type="pct" w:w="3500"/>
          </w:tcPr>
          <w:p>
            <w:pPr>
              <w:autoSpaceDN w:val="0"/>
              <w:autoSpaceDE w:val="0"/>
            </w:pPr>
            <w:r>
              <w:rPr>
                <w:rFonts w:ascii="맑은 고딕" w:hAnsi="맑은 고딕" w:eastAsia="맑은 고딕" w:cs="맑은 고딕"/>
                <w:color w:val="000000"/>
                <w:sz w:val="19"/>
              </w:rPr>
              <w:t>설치를 제한할 수 있는 경우</w:t>
            </w:r>
            <w:r>
              <w:rPr>
                <w:rFonts w:ascii="맑은 고딕" w:hAnsi="맑은 고딕" w:eastAsia="맑은 고딕" w:cs="맑은 고딕"/>
                <w:color w:val="000000"/>
                <w:sz w:val="19"/>
              </w:rPr>
              <w:br/>
            </w:r>
            <w:r>
              <w:rPr>
                <w:rFonts w:ascii="맑은 고딕" w:hAnsi="맑은 고딕" w:eastAsia="맑은 고딕" w:cs="맑은 고딕"/>
                <w:color w:val="000000"/>
                <w:sz w:val="19"/>
              </w:rPr>
              <w:t>1. 배출시설 설치 지점으로부터 반경 1킬로미터 안의 상주 인구가 2만명 이상인 지역으로서 특정대기유해물질 중 한 가지 종류의 물질을 연간 10톤 이상 배출하거나 두 가지 이상의 물질을 연간 25톤 이상 배출하는 시설을 설치하는 경우</w:t>
            </w:r>
            <w:r>
              <w:rPr>
                <w:rFonts w:ascii="맑은 고딕" w:hAnsi="맑은 고딕" w:eastAsia="맑은 고딕" w:cs="맑은 고딕"/>
                <w:color w:val="000000"/>
                <w:sz w:val="19"/>
              </w:rPr>
              <w:br/>
            </w:r>
            <w:r>
              <w:rPr>
                <w:rFonts w:ascii="맑은 고딕" w:hAnsi="맑은 고딕" w:eastAsia="맑은 고딕" w:cs="맑은 고딕"/>
                <w:color w:val="000000"/>
                <w:sz w:val="19"/>
              </w:rPr>
              <w:t>2. 대기오염물질(먼지·황산화물 및 질소산화물만 해당한다)의 발생량 합계가 연간 10톤 이상인 배출시설을 특별대책지역에 설치하는 경우</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대기관리권역의 대기환경개선에 관한 특별법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제15조 제1항</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(구 수도권대기환경특별법 제14조 제1항)</w:t>
            </w:r>
          </w:p>
        </w:tc>
        <w:tc>
          <w:tcPr>
            <w:tcW w:type="pct" w:w="3500"/>
          </w:tcPr>
          <w:p>
            <w:pPr>
              <w:autoSpaceDN w:val="0"/>
              <w:autoSpaceDE w:val="0"/>
            </w:pPr>
            <w:r>
              <w:rPr>
                <w:rFonts w:ascii="맑은 고딕" w:hAnsi="맑은 고딕" w:eastAsia="맑은 고딕" w:cs="맑은 고딕"/>
                <w:color w:val="000000"/>
                <w:sz w:val="19"/>
              </w:rPr>
              <w:t>대기관리권역에서 총량관리대상 오염물질을 대통령령으로 정하는 배출량을 초과하여 배출하는 사업장을 설치하거나 이에 해당하는 사업장으로 변경하려는 자는 기후에너지환경부장관으로부터 사업장설치의 허가를 받아야 한다. 허가받은 사항을 변경하는 경우에도 또한 같다.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https://www.law.go.kr/판례/(2012두22799)</w:t>
      </w:r>
    </w:p>
    <w:p>
      <w:pPr>
        <w:autoSpaceDN w:val="0"/>
        <w:autoSpaceDE w:val="0"/>
        <w:spacing w:before="80"/>
      </w:pPr>
      <w:r>
        <w:rPr>
          <w:rFonts w:ascii="맑은 고딕" w:hAnsi="맑은 고딕" w:eastAsia="맑은 고딕" w:cs="맑은 고딕"/>
          <w:color w:val="000000"/>
          <w:sz w:val="18"/>
        </w:rPr>
        <w:t>태그  #대기환경보전법 #대기배출시설 #설치허가 #총량관리사업장 #특정대기유해물질 #행정판례 #대법원판례 #2013년판례 #2012두22799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