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허위 계획서로 받은 승인은 신뢰보호의 근거가 되지 못합니다</w:t>
      </w:r>
    </w:p>
    <w:p>
      <w:pPr>
        <w:autoSpaceDN w:val="0"/>
        <w:autoSpaceDE w:val="0"/>
        <w:pStyle w:val="law1"/>
        <w:spacing w:after="160"/>
      </w:pPr>
      <w:r>
        <w:rPr>
          <w:rFonts w:ascii="맑은 고딕" w:hAnsi="맑은 고딕" w:eastAsia="맑은 고딕" w:cs="맑은 고딕"/>
          <w:color w:val="000000"/>
        </w:rPr>
        <w:t>대법원 2019두51499 (2020.04.09 선고)</w:t>
      </w:r>
    </w:p>
    <w:p>
      <w:pPr>
        <w:autoSpaceDN w:val="0"/>
        <w:autoSpaceDE w:val="0"/>
        <w:spacing w:after="120"/>
      </w:pPr>
      <w:r>
        <w:rPr>
          <w:rFonts w:ascii="맑은 고딕" w:hAnsi="맑은 고딕" w:eastAsia="맑은 고딕" w:cs="맑은 고딕"/>
          <w:color w:val="000000"/>
        </w:rPr>
        <w:t>○ 준농림지역에서 공장설립 변경승인을 받아 16년간 운영해 온 아스콘 공장에서 특정대기유해물질이 검출되자 폐쇄명령이 내려진 사건입니다. 대법원은 아스콘 공장은 그 설립 당시부터 특정대기유해물질 배출시설이었고, 원고가 허위·부실한 계획서를 제출하여 행정청의 착오를 유발한 이상 신뢰보호원칙·자기구속 법리·실효의 원칙을 주장할 수 없다고 보았습니다.</w:t>
      </w:r>
    </w:p>
    <w:p>
      <w:pPr>
        <w:autoSpaceDN w:val="0"/>
        <w:autoSpaceDE w:val="0"/>
      </w:pP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공장설립 승인을 받았으면 대기배출시설 허가도 받은 것으로 되나요?</w:t>
            </w:r>
          </w:p>
          <w:p>
            <w:pPr>
              <w:autoSpaceDN w:val="0"/>
              <w:autoSpaceDE w:val="0"/>
            </w:pPr>
            <w:r>
              <w:rPr>
                <w:rFonts w:ascii="맑은 고딕" w:hAnsi="맑은 고딕" w:eastAsia="맑은 고딕" w:cs="맑은 고딕"/>
                <w:color w:val="000000"/>
                <w:sz w:val="19"/>
              </w:rPr>
              <w:t>A. 아닙니다. 여러 개별법령의 인허가 제도가 고유한 목적과 요건을 규율하고 있다면 각각 모두 적용되어야 하고, 어느 하나의 절차를 거쳤다고 다른 절차가 면제되지 않습니다.</w:t>
            </w:r>
          </w:p>
          <w:p>
            <w:pPr>
              <w:autoSpaceDN w:val="0"/>
              <w:autoSpaceDE w:val="0"/>
            </w:pPr>
          </w:p>
          <w:p>
            <w:pPr>
              <w:autoSpaceDN w:val="0"/>
              <w:autoSpaceDE w:val="0"/>
            </w:pPr>
            <w:r>
              <w:rPr>
                <w:rFonts w:ascii="맑은 고딕" w:hAnsi="맑은 고딕" w:eastAsia="맑은 고딕" w:cs="맑은 고딕"/>
                <w:b/>
                <w:color w:val="000000"/>
                <w:sz w:val="19"/>
              </w:rPr>
              <w:t>Q. 아스콘 공장은 언제부터 특정대기유해물질 배출시설인가요?</w:t>
            </w:r>
          </w:p>
          <w:p>
            <w:pPr>
              <w:autoSpaceDN w:val="0"/>
              <w:autoSpaceDE w:val="0"/>
            </w:pPr>
            <w:r>
              <w:rPr>
                <w:rFonts w:ascii="맑은 고딕" w:hAnsi="맑은 고딕" w:eastAsia="맑은 고딕" w:cs="맑은 고딕"/>
                <w:color w:val="000000"/>
                <w:sz w:val="19"/>
              </w:rPr>
              <w:t>A. 특별히 정제된 원료나 특별한 최신 공법을 적용한다는 예외적 사정이 없는 한, 아스콘 공장은 설립 당시부터 특정대기유해물질 배출시설로 볼 수밖에 없습니다.</w:t>
            </w:r>
          </w:p>
          <w:p>
            <w:pPr>
              <w:autoSpaceDN w:val="0"/>
              <w:autoSpaceDE w:val="0"/>
            </w:pPr>
          </w:p>
          <w:p>
            <w:pPr>
              <w:autoSpaceDN w:val="0"/>
              <w:autoSpaceDE w:val="0"/>
            </w:pPr>
            <w:r>
              <w:rPr>
                <w:rFonts w:ascii="맑은 고딕" w:hAnsi="맑은 고딕" w:eastAsia="맑은 고딕" w:cs="맑은 고딕"/>
                <w:b/>
                <w:color w:val="000000"/>
                <w:sz w:val="19"/>
              </w:rPr>
              <w:t>Q. 행정청이 오랫동안 문제 삼지 않았으면 신뢰가 보호되지 않나요?</w:t>
            </w:r>
          </w:p>
          <w:p>
            <w:pPr>
              <w:autoSpaceDN w:val="0"/>
              <w:autoSpaceDE w:val="0"/>
            </w:pPr>
            <w:r>
              <w:rPr>
                <w:rFonts w:ascii="맑은 고딕" w:hAnsi="맑은 고딕" w:eastAsia="맑은 고딕" w:cs="맑은 고딕"/>
                <w:color w:val="000000"/>
                <w:sz w:val="19"/>
              </w:rPr>
              <w:t>A. 그 착오를 사업자가 유발한 경우에는 보호가치가 없습니다. 위법 상태를 적시에 인지하지 못하여 장기간 운영해 왔더라도 공장 존속을 주장할 정당한 사유가 되지 않습니다.</w:t>
            </w:r>
          </w:p>
        </w:tc>
      </w:tr>
    </w:tbl>
    <w:p>
      <w:pPr>
        <w:autoSpaceDN w:val="0"/>
        <w:autoSpaceDE w:val="0"/>
      </w:pPr>
    </w:p>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2019두51499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2020.04.09</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주식회사 ○○○ · 피고 용인시장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(폐쇄명령처분취소청구의소)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2018누69808 (2019. 9. 6.)</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상고기각 (원심 확정)</w:t>
            </w:r>
          </w:p>
        </w:tc>
      </w:tr>
    </w:tbl>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1993. 10.경 용인시 처인구의 이 사건 토지에서 레미콘 공장을 설립하여 운영하던 중, 아스콘 공장을 추가로 설립하기 위하여 2001. 5. 4. 피고로부터 구 공업배치법에 따른 공장설립 변경승인을 받았다.</w:t>
      </w:r>
      <w:r>
        <w:rPr>
          <w:rFonts w:ascii="맑은 고딕" w:hAnsi="맑은 고딕" w:eastAsia="맑은 고딕" w:cs="맑은 고딕"/>
          <w:color w:val="000000"/>
        </w:rPr>
        <w:br/>
      </w:r>
      <w:r>
        <w:rPr>
          <w:rFonts w:ascii="맑은 고딕" w:hAnsi="맑은 고딕" w:eastAsia="맑은 고딕" w:cs="맑은 고딕"/>
          <w:color w:val="000000"/>
        </w:rPr>
        <w:t>② 원고는 2002. 5. 29. 피고에게 대기오염물질 배출시설 설치 변경신고를 마쳤는데, 그 내용은 연료사용량 증가로 5종 사업장에서 4종 사업장으로 변경된다는 것일 뿐 특정대기유해물질의 배출에 관한 내용은 누락되어 있었다.</w:t>
      </w:r>
      <w:r>
        <w:rPr>
          <w:rFonts w:ascii="맑은 고딕" w:hAnsi="맑은 고딕" w:eastAsia="맑은 고딕" w:cs="맑은 고딕"/>
          <w:color w:val="000000"/>
        </w:rPr>
        <w:br/>
      </w:r>
      <w:r>
        <w:rPr>
          <w:rFonts w:ascii="맑은 고딕" w:hAnsi="맑은 고딕" w:eastAsia="맑은 고딕" w:cs="맑은 고딕"/>
          <w:color w:val="000000"/>
        </w:rPr>
        <w:t>③ 공장 설립 당시 원고는 이 사건 공장에서 특정대기유해물질은 배출되지 않고 토석의 저장·혼합 및 연료 사용에 따라 먼지와 배기가스만 배출될 것이라는 전제에서 배출시설 및 방지시설 설치 계획서를 제출하였다.</w:t>
      </w:r>
      <w:r>
        <w:rPr>
          <w:rFonts w:ascii="맑은 고딕" w:hAnsi="맑은 고딕" w:eastAsia="맑은 고딕" w:cs="맑은 고딕"/>
          <w:color w:val="000000"/>
        </w:rPr>
        <w:br/>
      </w:r>
      <w:r>
        <w:rPr>
          <w:rFonts w:ascii="맑은 고딕" w:hAnsi="맑은 고딕" w:eastAsia="맑은 고딕" w:cs="맑은 고딕"/>
          <w:color w:val="000000"/>
        </w:rPr>
        <w:t>④ 이 사건 토지는 공장 설립 당시 구 국토이용관리법상 ‘준농림지역’이었다가 2003. 1. 22.경 국토계획법상 ‘자연녹지지역’으로 변경되었다.</w:t>
      </w:r>
      <w:r>
        <w:rPr>
          <w:rFonts w:ascii="맑은 고딕" w:hAnsi="맑은 고딕" w:eastAsia="맑은 고딕" w:cs="맑은 고딕"/>
          <w:color w:val="000000"/>
        </w:rPr>
        <w:br/>
      </w:r>
      <w:r>
        <w:rPr>
          <w:rFonts w:ascii="맑은 고딕" w:hAnsi="맑은 고딕" w:eastAsia="맑은 고딕" w:cs="맑은 고딕"/>
          <w:color w:val="000000"/>
        </w:rPr>
        <w:t>⑤ 피고가 의뢰한 2017. 3. 16. 1차 배출검사에서 벤젠 0.017ppm, 포름알데히드 0.245ppm, 아세트알데히드 0.488ppm이, 2018. 5. 4. 2차 배출검사에서도 포름알데히드 1.423ppm, 아세트알데히드 0.220ppm이 검출되었다.</w:t>
      </w:r>
      <w:r>
        <w:rPr>
          <w:rFonts w:ascii="맑은 고딕" w:hAnsi="맑은 고딕" w:eastAsia="맑은 고딕" w:cs="맑은 고딕"/>
          <w:color w:val="000000"/>
        </w:rPr>
        <w:br/>
      </w:r>
      <w:r>
        <w:rPr>
          <w:rFonts w:ascii="맑은 고딕" w:hAnsi="맑은 고딕" w:eastAsia="맑은 고딕" w:cs="맑은 고딕"/>
          <w:color w:val="000000"/>
        </w:rPr>
        <w:t>⑥ 피고는 2018. 5. 18. 자연녹지지역 안에서 허가받지 않은 특정대기유해물질 배출시설을 설치·운영하였다는 사유로 대기환경보전법 제38조 단서에 따라 폐쇄명령을 하였다.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rPr>
        <w:t>이 사건의 쟁점은, 준농림지역 안에서 특정대기유해물질 배출시설의 설치를 금지한 구 국토이용관리법 시행령 규정이 위헌·무효인지 여부, 처분 당시를 기준으로 폐쇄명령의 처분사유가 존재하는지 여부, 그리고 이 사건 처분이 신뢰보호원칙, 행정의 자기구속 법리, 실효의 원칙에 위배되는지 여부이다.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color w:val="000000"/>
        </w:rPr>
        <w:t>① 원심의 판단 원심은 이 사건 종전 규정이 위헌·무효가 아니고, 설립 당시 관계 법령상 준농림지역 안에서 특정대기유해물질이 발생되는 이 사건 공장의 설치는 금지되어 있었으며, 이 사건 공장은 폐쇄명령의 대상에 해당하고, 이 사건 처분이 신뢰보호원칙 등에 위배되지 않는다고 판단하였다.</w:t>
      </w:r>
      <w:r>
        <w:rPr>
          <w:rFonts w:ascii="맑은 고딕" w:hAnsi="맑은 고딕" w:eastAsia="맑은 고딕" w:cs="맑은 고딕"/>
          <w:color w:val="000000"/>
        </w:rPr>
        <w:br/>
      </w:r>
      <w:r>
        <w:rPr>
          <w:rFonts w:ascii="맑은 고딕" w:hAnsi="맑은 고딕" w:eastAsia="맑은 고딕" w:cs="맑은 고딕"/>
          <w:color w:val="000000"/>
        </w:rPr>
        <w:t>② 대법원의 판단 원심의 판단은 정당하고, 거기에 상고이유 주장과 같은 법리오해의 잘못이 없다.</w:t>
      </w:r>
      <w:r>
        <w:rPr>
          <w:rFonts w:ascii="맑은 고딕" w:hAnsi="맑은 고딕" w:eastAsia="맑은 고딕" w:cs="맑은 고딕"/>
          <w:color w:val="000000"/>
        </w:rPr>
        <w:br/>
      </w:r>
      <w:r>
        <w:rPr>
          <w:rFonts w:ascii="맑은 고딕" w:hAnsi="맑은 고딕" w:eastAsia="맑은 고딕" w:cs="맑은 고딕"/>
          <w:color w:val="000000"/>
        </w:rPr>
        <w:t>③ 준농림지역 안에서 특정대기유해물질 배출시설의 설치를 금지한 것은 목적의 정당성과 수단의 적합성이 인정되고, 모든 지역이 아니라 준농림지역에 한하여 특정 용도만을 제한하는 것이므로 피해의 최소성과 법익의 균형성도 충족하여 과잉금지원칙에 위반되지 않는다.</w:t>
      </w:r>
      <w:r>
        <w:rPr>
          <w:rFonts w:ascii="맑은 고딕" w:hAnsi="맑은 고딕" w:eastAsia="맑은 고딕" w:cs="맑은 고딕"/>
          <w:color w:val="000000"/>
        </w:rPr>
        <w:br/>
      </w:r>
      <w:r>
        <w:rPr>
          <w:rFonts w:ascii="맑은 고딕" w:hAnsi="맑은 고딕" w:eastAsia="맑은 고딕" w:cs="맑은 고딕"/>
          <w:color w:val="000000"/>
        </w:rPr>
        <w:t>④ 아스콘의 원료인 아스팔트는 석유를 증류하고 남은 찌꺼기로서 인체에 유해한 다방향족 탄화수소 등이 다수 포함되어 있고, 아스콘 제조공정에서 다량의 석유화합물이 배출되리라는 점은 일반인의 상식으로도 쉽게 예상할 수 있다. 따라서 예외적 사정이 없는 한 아스콘 공장은 특정대기유해물질 배출시설이라고 볼 수밖에 없고, 실제 1·2차 배출검사에서도 특정대기유해물질이 검출되었으므로 이 사건 공장은 설립 당시부터 특정대기유해물질 배출시설이었다.</w:t>
      </w:r>
      <w:r>
        <w:rPr>
          <w:rFonts w:ascii="맑은 고딕" w:hAnsi="맑은 고딕" w:eastAsia="맑은 고딕" w:cs="맑은 고딕"/>
          <w:color w:val="000000"/>
        </w:rPr>
        <w:br/>
      </w:r>
      <w:r>
        <w:rPr>
          <w:rFonts w:ascii="맑은 고딕" w:hAnsi="맑은 고딕" w:eastAsia="맑은 고딕" w:cs="맑은 고딕"/>
          <w:color w:val="000000"/>
        </w:rPr>
        <w:t>⑤ 여러 개별법령의 인허가 제도가 고유한 목적, 취지, 다른 요건을 규율하고 있다면 각각의 인허가 제도가 모두 적용되어야 하고, 그중 어느 하나의 인허가절차를 거쳤다고 하여 다른 인허가절차가 면제되지 않는다. 공장설립 변경승인이 유효하더라도 별도로 특정대기유해물질 배출시설 설치허가를 받아야 한다.</w:t>
      </w:r>
      <w:r>
        <w:rPr>
          <w:rFonts w:ascii="맑은 고딕" w:hAnsi="맑은 고딕" w:eastAsia="맑은 고딕" w:cs="맑은 고딕"/>
          <w:color w:val="000000"/>
        </w:rPr>
        <w:br/>
      </w:r>
      <w:r>
        <w:rPr>
          <w:rFonts w:ascii="맑은 고딕" w:hAnsi="맑은 고딕" w:eastAsia="맑은 고딕" w:cs="맑은 고딕"/>
          <w:color w:val="000000"/>
        </w:rPr>
        <w:t>⑥ 그런데 이 사건 토지에서는 특정대기유해물질 배출시설의 설치가 금지되어 있었으므로 ‘다른 법령에 의한 배출시설의 설치제한에 관한 규정에 위반되지 아니할 것’이라는 허가기준을 충족할 수 없어 설치허가가 불가능하였고, 원고가 한 변경신고는 특정대기유해물질 배출에 관한 내용이 누락되어 있어 이를 운영할 법적 지위를 부여받은 것이 아니다.</w:t>
      </w:r>
      <w:r>
        <w:rPr>
          <w:rFonts w:ascii="맑은 고딕" w:hAnsi="맑은 고딕" w:eastAsia="맑은 고딕" w:cs="맑은 고딕"/>
          <w:color w:val="000000"/>
        </w:rPr>
        <w:br/>
      </w:r>
      <w:r>
        <w:rPr>
          <w:rFonts w:ascii="맑은 고딕" w:hAnsi="맑은 고딕" w:eastAsia="맑은 고딕" w:cs="맑은 고딕"/>
          <w:color w:val="000000"/>
        </w:rPr>
        <w:t>⑦ 처분 당시 이 사건 토지는 자연녹지지역으로서 이 사건 공장은 국토계획법 시행령 [별표 17]에 의하여 설치가 금지되어 있으므로, 대기환경보전법 제38조 단서에 따른 필요적 폐쇄명령의 대상이고 피고에게 재량이 있다고 볼 수 없다.</w:t>
      </w:r>
      <w:r>
        <w:rPr>
          <w:rFonts w:ascii="맑은 고딕" w:hAnsi="맑은 고딕" w:eastAsia="맑은 고딕" w:cs="맑은 고딕"/>
          <w:color w:val="000000"/>
        </w:rPr>
        <w:br/>
      </w:r>
      <w:r>
        <w:rPr>
          <w:rFonts w:ascii="맑은 고딕" w:hAnsi="맑은 고딕" w:eastAsia="맑은 고딕" w:cs="맑은 고딕"/>
          <w:color w:val="000000"/>
        </w:rPr>
        <w:t>⑧ 원고가 허위이거나 부실한 계획서를 제출하여 피고의 착오를 유발한 이상, 피고에게 과실이 있더라도 특정대기유해물질 관련 규제가 적용되지 않으리라는 원고의 기대는 보호가치가 있다고 할 수 없고, 피고가 위법 상태를 적시에 인지하지 못하여 원고가 장기간 공장을 운영해 왔더라도 그것이 공장 존속을 주장할 정당한 사유는 될 수 없다.</w:t>
      </w:r>
      <w:r>
        <w:rPr>
          <w:rFonts w:ascii="맑은 고딕" w:hAnsi="맑은 고딕" w:eastAsia="맑은 고딕" w:cs="맑은 고딕"/>
          <w:color w:val="000000"/>
        </w:rPr>
        <w:br/>
      </w:r>
      <w:r>
        <w:rPr>
          <w:rFonts w:ascii="맑은 고딕" w:hAnsi="맑은 고딕" w:eastAsia="맑은 고딕" w:cs="맑은 고딕"/>
          <w:color w:val="000000"/>
        </w:rPr>
        <w:t>⑨ 이에 상고를 기각한다.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rPr>
        <w:t>① 구 국토이용관리법 시행령 제14조 제1항 제1호에 따르면, 준농림지역 안에서는 특정대기유해물질 배출시설의 설치가 금지되었기 때문에, 그 범위에서 특정대기유해물질이 발생하는 공장시설을 설치하여 운영하려는 자의 직업수행의 자유, 준농림지역 안에서 토지나 건물을 소유하고 있는 자의 재산권이 제한받을 수 있다. 그러나 위 규정이 헌법 제37조 제2항의 과잉금지원칙을 위반하였다고 볼 수는 없다.</w:t>
      </w:r>
      <w:r>
        <w:rPr>
          <w:rFonts w:ascii="맑은 고딕" w:hAnsi="맑은 고딕" w:eastAsia="맑은 고딕" w:cs="맑은 고딕"/>
          <w:color w:val="000000"/>
        </w:rPr>
        <w:br/>
      </w:r>
      <w:r>
        <w:rPr>
          <w:rFonts w:ascii="맑은 고딕" w:hAnsi="맑은 고딕" w:eastAsia="맑은 고딕" w:cs="맑은 고딕"/>
          <w:color w:val="000000"/>
        </w:rPr>
        <w:t>② 공장설립 당시에 甲 회사가 위 공장에서 특정대기유해물질은 배출되지 않고 토석의 저장·혼합 및 연료 사용에 따라 먼지와 배기가스만 배출될 것이라는 전제에서 허위이거나 부실한 배출시설 및 방지시설 설치 계획서를 제출하였으므로 시장이 만연히 甲 회사의 계획서를 그대로 믿은 데에 과실이 있더라도, 시장의 착오는 甲 회사가 유발한 것이므로, 위 공장에 대하여 특정대기유해물질 관련 규제가 적용되지 않으리라는 甲 회사의 기대는 보호가치가 없다.</w:t>
      </w:r>
    </w:p>
    <w:p>
      <w:pPr>
        <w:autoSpaceDN w:val="0"/>
        <w:autoSpaceDE w:val="0"/>
      </w:pP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제9호</w:t>
            </w:r>
          </w:p>
        </w:tc>
        <w:tc>
          <w:tcPr>
            <w:tcW w:type="pct" w:w="3500"/>
          </w:tcPr>
          <w:p>
            <w:pPr>
              <w:autoSpaceDN w:val="0"/>
              <w:autoSpaceDE w:val="0"/>
            </w:pPr>
            <w:r>
              <w:rPr>
                <w:rFonts w:ascii="맑은 고딕" w:hAnsi="맑은 고딕" w:eastAsia="맑은 고딕" w:cs="맑은 고딕"/>
                <w:color w:val="000000"/>
                <w:sz w:val="19"/>
              </w:rPr>
              <w:t>‘특정대기유해물질’이란 유해성대기감시물질 중 저농도에서도 장기적인 섭취나 노출에 의하여 사람의 건강이나 동식물의 생육에 위해를 끼칠 수 있어 대기 배출에 대한 관리가 필요하다고 인정된 물질로서 기후에너지환경부령으로 정하는 것을 말한다.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제1항</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 제7항 제2호</w:t>
            </w:r>
          </w:p>
        </w:tc>
        <w:tc>
          <w:tcPr>
            <w:tcW w:type="pct" w:w="3500"/>
          </w:tcPr>
          <w:p>
            <w:pPr>
              <w:autoSpaceDN w:val="0"/>
              <w:autoSpaceDE w:val="0"/>
            </w:pPr>
            <w:r>
              <w:rPr>
                <w:rFonts w:ascii="맑은 고딕" w:hAnsi="맑은 고딕" w:eastAsia="맑은 고딕" w:cs="맑은 고딕"/>
                <w:color w:val="000000"/>
                <w:sz w:val="19"/>
              </w:rPr>
              <w:t>허가 또는 변경허가의 기준으로 ‘다른 법률에 따른 배출시설 설치제한에 관한 규정을 위반하지 아니할 것’을 정하고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제38조 단서</w:t>
            </w:r>
          </w:p>
        </w:tc>
        <w:tc>
          <w:tcPr>
            <w:tcW w:type="pct" w:w="3500"/>
          </w:tcPr>
          <w:p>
            <w:pPr>
              <w:autoSpaceDN w:val="0"/>
              <w:autoSpaceDE w:val="0"/>
            </w:pPr>
            <w:r>
              <w:rPr>
                <w:rFonts w:ascii="맑은 고딕" w:hAnsi="맑은 고딕" w:eastAsia="맑은 고딕" w:cs="맑은 고딕"/>
                <w:color w:val="000000"/>
                <w:sz w:val="19"/>
              </w:rPr>
              <w:t>그 배출시설을 개선하거나 방지시설을 설치·개선하더라도 배출허용기준 이하로 내려갈 가능성이 없다고 인정되는 경우 또는 그 설치장소가 다른 법률에 따라 그 배출시설의 설치가 금지된 경우에는 그 배출시설의 폐쇄를 명하여야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제76조 제1항</w:t>
            </w:r>
          </w:p>
        </w:tc>
        <w:tc>
          <w:tcPr>
            <w:tcW w:type="pct" w:w="3500"/>
          </w:tcPr>
          <w:p>
            <w:pPr>
              <w:autoSpaceDN w:val="0"/>
              <w:autoSpaceDE w:val="0"/>
            </w:pPr>
            <w:r>
              <w:rPr>
                <w:rFonts w:ascii="맑은 고딕" w:hAnsi="맑은 고딕" w:eastAsia="맑은 고딕" w:cs="맑은 고딕"/>
                <w:color w:val="000000"/>
                <w:sz w:val="19"/>
              </w:rPr>
              <w:t>용도지역에서의 건축물이나 그 밖의 시설의 용도·종류 및 규모 등의 제한에 관한 사항은 대통령령으로 정한다.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국토의 계획 및 이용에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제71조 제1항 [별표 17]</w:t>
            </w:r>
          </w:p>
        </w:tc>
        <w:tc>
          <w:tcPr>
            <w:tcW w:type="pct" w:w="3500"/>
          </w:tcPr>
          <w:p>
            <w:pPr>
              <w:autoSpaceDN w:val="0"/>
              <w:autoSpaceDE w:val="0"/>
            </w:pPr>
            <w:r>
              <w:rPr>
                <w:rFonts w:ascii="맑은 고딕" w:hAnsi="맑은 고딕" w:eastAsia="맑은 고딕" w:cs="맑은 고딕"/>
                <w:color w:val="000000"/>
                <w:sz w:val="19"/>
              </w:rPr>
              <w:t>자연녹지지역 안에서 건축할 수 없는 건축물을 정하고 있으며, 특정대기유해물질이 기준 이상으로 배출되는 공장의 설치를 금지하고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https://www.law.go.kr/판례/(2019두51499)</w:t>
      </w:r>
    </w:p>
    <w:p>
      <w:pPr>
        <w:autoSpaceDN w:val="0"/>
        <w:autoSpaceDE w:val="0"/>
        <w:spacing w:before="80"/>
      </w:pPr>
      <w:r>
        <w:rPr>
          <w:rFonts w:ascii="맑은 고딕" w:hAnsi="맑은 고딕" w:eastAsia="맑은 고딕" w:cs="맑은 고딕"/>
          <w:color w:val="000000"/>
          <w:sz w:val="18"/>
        </w:rPr>
        <w:t>태그  #대기환경보전법 #특정대기유해물질 #폐쇄명령 #아스콘 #신뢰보호원칙 #자연녹지지역 #행정판례 #대법원판례 #2020년판례 #2019두51499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