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특별대책지역의 소각시설 증설 제한은 적법할 수 있습니다</w:t>
      </w:r>
    </w:p>
    <w:p>
      <w:pPr>
        <w:autoSpaceDN w:val="0"/>
        <w:autoSpaceDE w:val="0"/>
        <w:pStyle w:val="law1"/>
        <w:spacing w:after="160"/>
      </w:pPr>
      <w:r>
        <w:rPr>
          <w:rFonts w:ascii="맑은 고딕" w:hAnsi="맑은 고딕" w:eastAsia="맑은 고딕" w:cs="맑은 고딕"/>
          <w:color w:val="000000"/>
        </w:rPr>
        <w:t>대법원 2021두33593 (2021.07.29 선고)</w:t>
      </w:r>
    </w:p>
    <w:p>
      <w:pPr>
        <w:autoSpaceDN w:val="0"/>
        <w:autoSpaceDE w:val="0"/>
        <w:spacing w:after="120"/>
      </w:pPr>
      <w:r>
        <w:rPr>
          <w:rFonts w:ascii="맑은 고딕" w:hAnsi="맑은 고딕" w:eastAsia="맑은 고딕" w:cs="맑은 고딕"/>
          <w:color w:val="000000"/>
        </w:rPr>
        <w:t>○ 대기보전특별대책지역인 국가산업단지에서 사업장폐기물 소각시설을 증설하기 위한 산업단지개발계획 변경신청이 거부된 사건입니다. 대법원은 어차피 대기환경보전법상 설치제한 대상이 될 시설임을 미리 고려한 행정청의 판단이 현저히 불합리하지 않고, 형평 위반도 아니라고 보아 원심을 파기하였습니다.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특별대책지역에서는 어떤 배출시설의 설치가 제한되나요?</w:t>
            </w:r>
          </w:p>
          <w:p>
            <w:pPr>
              <w:autoSpaceDN w:val="0"/>
              <w:autoSpaceDE w:val="0"/>
            </w:pPr>
            <w:r>
              <w:rPr>
                <w:rFonts w:ascii="맑은 고딕" w:hAnsi="맑은 고딕" w:eastAsia="맑은 고딕" w:cs="맑은 고딕"/>
                <w:color w:val="000000"/>
                <w:sz w:val="19"/>
              </w:rPr>
              <w:t>A. 먼지·황산화물 및 질소산화물의 발생량 합계가 연간 10톤 이상인 배출시설을 특별대책지역에 설치하는 경우 설치를 제한할 수 있습니다.</w:t>
            </w:r>
          </w:p>
          <w:p>
            <w:pPr>
              <w:autoSpaceDN w:val="0"/>
              <w:autoSpaceDE w:val="0"/>
            </w:pPr>
          </w:p>
          <w:p>
            <w:pPr>
              <w:autoSpaceDN w:val="0"/>
              <w:autoSpaceDE w:val="0"/>
            </w:pPr>
            <w:r>
              <w:rPr>
                <w:rFonts w:ascii="맑은 고딕" w:hAnsi="맑은 고딕" w:eastAsia="맑은 고딕" w:cs="맑은 고딕"/>
                <w:b/>
                <w:color w:val="000000"/>
                <w:sz w:val="19"/>
              </w:rPr>
              <w:t>Q. 산업단지개발계획 변경 단계에서 뒤의 배출시설 설치허가 가능성을 미리 고려해도 되나요?</w:t>
            </w:r>
          </w:p>
          <w:p>
            <w:pPr>
              <w:autoSpaceDN w:val="0"/>
              <w:autoSpaceDE w:val="0"/>
            </w:pPr>
            <w:r>
              <w:rPr>
                <w:rFonts w:ascii="맑은 고딕" w:hAnsi="맑은 고딕" w:eastAsia="맑은 고딕" w:cs="맑은 고딕"/>
                <w:color w:val="000000"/>
                <w:sz w:val="19"/>
              </w:rPr>
              <w:t>A. 됩니다. 최종적으로 설치허가를 받기 어렵다는 점을 미리 고려한 행정청의 결정이 현저히 불합리하다고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인근 동종 업체는 증설을 허용해 줬는데 형평에 반하지 않나요?</w:t>
            </w:r>
          </w:p>
          <w:p>
            <w:pPr>
              <w:autoSpaceDN w:val="0"/>
              <w:autoSpaceDE w:val="0"/>
            </w:pPr>
            <w:r>
              <w:rPr>
                <w:rFonts w:ascii="맑은 고딕" w:hAnsi="맑은 고딕" w:eastAsia="맑은 고딕" w:cs="맑은 고딕"/>
                <w:color w:val="000000"/>
                <w:sz w:val="19"/>
              </w:rPr>
              <w:t>A. 특정 업체의 증설을 허용했다고 하여 반드시 주변 동종 업체에도 같은 혜택을 주어야 한다고 보면 산업단지개발계획 제도가 유명무실해질 수 있으므로, 형평의 원칙에 뚜렷하게 반한다고 보기 어렵습니다.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2021두33593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2021.07.29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울산광역시장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(산업단지개발계획변경신청거부처분취소청구의소)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부산고법 2020누22282 (2021. 1. 13.)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울산·미포 국가산업단지에 입주한 폐기물처리업체이고, 피고는 국토교통부장관으로부터 국가산업단지의 산업단지개발계획 변경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t>② 피고는 2019. 3. 14. 다른 폐기물처리업체인 ○○○의 신청을 받아들여 사업장폐기물 소각시설 1기(1일 소각량 206t)를 증설할 수 있도록 산업단지개발계획을 변경하였다.</w:t>
      </w:r>
      <w:r>
        <w:rPr>
          <w:rFonts w:ascii="맑은 고딕" w:hAnsi="맑은 고딕" w:eastAsia="맑은 고딕" w:cs="맑은 고딕"/>
          <w:color w:val="000000"/>
        </w:rPr>
        <w:br/>
      </w:r>
      <w:r>
        <w:rPr>
          <w:rFonts w:ascii="맑은 고딕" w:hAnsi="맑은 고딕" w:eastAsia="맑은 고딕" w:cs="맑은 고딕"/>
          <w:color w:val="000000"/>
        </w:rPr>
        <w:t>③ 원고는 2019. 3. 19. 피고에게 사업장폐기물 소각시설 1기(1일 소각량 163t)를 증설하기 위한 산업단지개발계획 변경신청을 하였다.</w:t>
      </w:r>
      <w:r>
        <w:rPr>
          <w:rFonts w:ascii="맑은 고딕" w:hAnsi="맑은 고딕" w:eastAsia="맑은 고딕" w:cs="맑은 고딕"/>
          <w:color w:val="000000"/>
        </w:rPr>
        <w:br/>
      </w:r>
      <w:r>
        <w:rPr>
          <w:rFonts w:ascii="맑은 고딕" w:hAnsi="맑은 고딕" w:eastAsia="맑은 고딕" w:cs="맑은 고딕"/>
          <w:color w:val="000000"/>
        </w:rPr>
        <w:t>④ 피고는 2019. 5. 8. ‘국가산업단지 대기보전특별대책지역 대기배출시설(소각시설) 설치 제한 검토 보고서’를 작성하여 관할구역 내 사업장폐기물 소각시설 증설을 제한하기로 결정하고, 2019. 5. 16. 원고의 신청을 거부하였다.</w:t>
      </w:r>
      <w:r>
        <w:rPr>
          <w:rFonts w:ascii="맑은 고딕" w:hAnsi="맑은 고딕" w:eastAsia="맑은 고딕" w:cs="맑은 고딕"/>
          <w:color w:val="000000"/>
        </w:rPr>
        <w:br/>
      </w:r>
      <w:r>
        <w:rPr>
          <w:rFonts w:ascii="맑은 고딕" w:hAnsi="맑은 고딕" w:eastAsia="맑은 고딕" w:cs="맑은 고딕"/>
          <w:color w:val="000000"/>
        </w:rPr>
        <w:t>⑤ 원고는 2019. 8. 9. 질소산화물 저감장치와 굴뚝원격감시체계를 설치하겠다고 밝히며 환경성검토서를 제출하여 다시 변경신청을 하였으나, 피고는 2019. 9. 6. 소각 과정에서 다이옥신 등 특정대기유해물질이 배출된다는 사유를 추가하여 이를 거부하였다.</w:t>
      </w:r>
      <w:r>
        <w:rPr>
          <w:rFonts w:ascii="맑은 고딕" w:hAnsi="맑은 고딕" w:eastAsia="맑은 고딕" w:cs="맑은 고딕"/>
          <w:color w:val="000000"/>
        </w:rPr>
        <w:br/>
      </w:r>
      <w:r>
        <w:rPr>
          <w:rFonts w:ascii="맑은 고딕" w:hAnsi="맑은 고딕" w:eastAsia="맑은 고딕" w:cs="맑은 고딕"/>
          <w:color w:val="000000"/>
        </w:rPr>
        <w:t>⑥ 원심은 초미세먼지 농도 추이, 원고의 방지대책, 사후 규제 가능성, ○○○ 사례와의 형평 등을 이유로 이 사건 처분에 재량권을 일탈·남용한 위법이 있다고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산업단지개발계획 변경 여부 결정에 행정계획에 관한 형성의 재량과 이익형량 법리가 적용되는지 여부와, 환경오염 우려를 처분사유로 하는 변경신청 거부처분에 대한 재량권 일탈·남용의 심사 방법 및 증명책임의 소재이다.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초미세먼지 농도가 큰 변동 없이 유지되어 온 점, 원고가 질소산화물 저감장치 등 대책을 제시한 점, 사후에 배출시설 설치허가 단계에서 저감 대책을 요구할 수 있는 점, ○○○ 사례와 비교하여 형평에 반하는 점 등을 이유로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행정청은 구체적인 행정계획을 입안·결정할 때 비교적 광범위한 형성의 재량을 가지되, 관련되는 자들의 이익을 정당하게 비교·교량하여야 하는 제한이 있고, 이러한 법리는 산업단지개발계획 변경 여부를 결정하는 경우에도 마찬가지로 적용된다.</w:t>
      </w:r>
      <w:r>
        <w:rPr>
          <w:rFonts w:ascii="맑은 고딕" w:hAnsi="맑은 고딕" w:eastAsia="맑은 고딕" w:cs="맑은 고딕"/>
          <w:color w:val="000000"/>
        </w:rPr>
        <w:br/>
      </w:r>
      <w:r>
        <w:rPr>
          <w:rFonts w:ascii="맑은 고딕" w:hAnsi="맑은 고딕" w:eastAsia="맑은 고딕" w:cs="맑은 고딕"/>
          <w:color w:val="000000"/>
        </w:rPr>
        <w:t>④ 환경 훼손·오염 우려를 처분사유로 하는 변경신청 거부처분과 관련하여 재량권의 일탈·남용 여부를 심사할 때에는 산업입지법의 입법 취지와 목적, 구체적 지역 상황, 환경권 보호에 관한 각종 규정의 입법 취지 및 이해관계자들 사이의 권익 균형 등을 종합하여 신중하게 판단하여야 하고, ‘환경오염 발생 우려’와 같이 장래의 불확실한 상황에 대한 예측이 필요한 요건에 관한 재량적 판단은 폭넓게 존중하여야 한다.</w:t>
      </w:r>
      <w:r>
        <w:rPr>
          <w:rFonts w:ascii="맑은 고딕" w:hAnsi="맑은 고딕" w:eastAsia="맑은 고딕" w:cs="맑은 고딕"/>
          <w:color w:val="000000"/>
        </w:rPr>
        <w:br/>
      </w:r>
      <w:r>
        <w:rPr>
          <w:rFonts w:ascii="맑은 고딕" w:hAnsi="맑은 고딕" w:eastAsia="맑은 고딕" w:cs="맑은 고딕"/>
          <w:color w:val="000000"/>
        </w:rPr>
        <w:t>⑤ 이 사건 산업단지는 대기보전특별대책지역으로 지정되어 있고, 원고 스스로 신청서에서 이 사건 소각시설의 연간 배출량을 먼지 1.67t, 황산화물 10.18t, 질소산화물 29.49t으로 예측하였으므로, 원고가 추후 배출시설 설치허가를 신청할 경우 피고는 설치제한 기준(연간 합계 10t 이상)에 해당한다는 사유로 불허가처분을 할 수 있다. 피고가 이를 미리 고려한 결정이 현저히 불합리하다고 보이지 않는다.</w:t>
      </w:r>
      <w:r>
        <w:rPr>
          <w:rFonts w:ascii="맑은 고딕" w:hAnsi="맑은 고딕" w:eastAsia="맑은 고딕" w:cs="맑은 고딕"/>
          <w:color w:val="000000"/>
        </w:rPr>
        <w:br/>
      </w:r>
      <w:r>
        <w:rPr>
          <w:rFonts w:ascii="맑은 고딕" w:hAnsi="맑은 고딕" w:eastAsia="맑은 고딕" w:cs="맑은 고딕"/>
          <w:color w:val="000000"/>
        </w:rPr>
        <w:t>⑥ 환경검토서의 예측도 질소산화물 저감장치의 성능을 최상으로 유지하는 경우를 전제로 한 것이고, 그 예측에 따르더라도 설치제한 기준을 여전히 초과하며, 굴뚝원격감시체계로는 다이옥신·크롬·납·카드뮴 등 특정대기유해물질을 측정할 수 없으므로 원고의 대책이 충분하다고 보기 어렵다.</w:t>
      </w:r>
      <w:r>
        <w:rPr>
          <w:rFonts w:ascii="맑은 고딕" w:hAnsi="맑은 고딕" w:eastAsia="맑은 고딕" w:cs="맑은 고딕"/>
          <w:color w:val="000000"/>
        </w:rPr>
        <w:br/>
      </w:r>
      <w:r>
        <w:rPr>
          <w:rFonts w:ascii="맑은 고딕" w:hAnsi="맑은 고딕" w:eastAsia="맑은 고딕" w:cs="맑은 고딕"/>
          <w:color w:val="000000"/>
        </w:rPr>
        <w:t>⑦ 울산광역시 폐기물처리업체의 초미세먼지 배출량이 다른 특별시·광역시보다 많고 초미세먼지 연평균 농도가 환경기준을 초과하는 점, 배출허용총량제 도입을 앞두고 선제적 대책이 필요했던 점에 비추어 소각시설 증설 제한 결정은 적절한 수단의 하나로 보인다.</w:t>
      </w:r>
      <w:r>
        <w:rPr>
          <w:rFonts w:ascii="맑은 고딕" w:hAnsi="맑은 고딕" w:eastAsia="맑은 고딕" w:cs="맑은 고딕"/>
          <w:color w:val="000000"/>
        </w:rPr>
        <w:br/>
      </w:r>
      <w:r>
        <w:rPr>
          <w:rFonts w:ascii="맑은 고딕" w:hAnsi="맑은 고딕" w:eastAsia="맑은 고딕" w:cs="맑은 고딕"/>
          <w:color w:val="000000"/>
        </w:rPr>
        <w:t>⑧ ○○○에 대한 변경은 대기관리권역법 제정·공포 전에 이루어진 반면 이 사건 처분은 그 후에 이루어졌고, 특정 업체의 증설 허용이 곧 주변 동종 업체에 대한 동일한 혜택을 강제한다면 산업단지개발계획 제도가 유명무실해질 수 있으므로 형평의 원칙에 뚜렷하게 반한다고 보기 어렵다.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행정청은 구체적인 행정계획을 입안·결정할 때 비교적 광범위한 형성의 재량을 가진다. 다만 행정계획에서는 그에 관련되는 자들의 이익을 공익과 사익 사이에서는 물론이고 공익 사이에서나 사익 사이에서도 정당하게 비교·교량하여야 한다는 제한이 있으므로, 이익형량을 전혀 행하지 아니하거나 이익형량의 고려 대상에 마땅히 포함시켜야 할 사항을 누락한 경우 또는 이익형량을 하였으나 정당성과 객관성이 결여된 경우에는 그 행정계획 결정은 위법하게 될 수 있다.</w:t>
      </w:r>
      <w:r>
        <w:rPr>
          <w:rFonts w:ascii="맑은 고딕" w:hAnsi="맑은 고딕" w:eastAsia="맑은 고딕" w:cs="맑은 고딕"/>
          <w:color w:val="000000"/>
        </w:rPr>
        <w:br/>
      </w:r>
      <w:r>
        <w:rPr>
          <w:rFonts w:ascii="맑은 고딕" w:hAnsi="맑은 고딕" w:eastAsia="맑은 고딕" w:cs="맑은 고딕"/>
          <w:color w:val="000000"/>
        </w:rPr>
        <w:t>② ‘환경오염 발생 우려’와 같이 장래에 발생할 불확실한 상황과 파급효과에 대한 예측이 필요한 요건에 관한 행정청의 재량적 판단은 그 내용이 현저히 합리성을 결여하였다거나 상반되는 이익이나 가치를 대비해 볼 때 형평이나 비례의 원칙에 뚜렷하게 배치되는 등의 사정이 없는 한 폭넓게 존중하여야 한다. 또한 처분이 재량권을 일탈·남용하였다는 사정은 그 처분의 효력을 다투는 자가 주장·증명하여야 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제8항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제6항)</w:t>
            </w:r>
          </w:p>
        </w:tc>
        <w:tc>
          <w:tcPr>
            <w:tcW w:type="pct" w:w="3500"/>
          </w:tcPr>
          <w:p>
            <w:pPr>
              <w:autoSpaceDN w:val="0"/>
              <w:autoSpaceDE w:val="0"/>
            </w:pPr>
            <w:r>
              <w:rPr>
                <w:rFonts w:ascii="맑은 고딕" w:hAnsi="맑은 고딕" w:eastAsia="맑은 고딕" w:cs="맑은 고딕"/>
                <w:color w:val="000000"/>
                <w:sz w:val="19"/>
              </w:rPr>
              <w:t>특별대책지역의 배출시설로부터 나오는 대기오염물질로 인하여 환경기준의 유지가 곤란하거나 주민의 건강·재산, 동식물의 생육에 심각한 위해를 끼칠 우려가 있다고 인정되면 대통령령으로 정하는 바에 따라 특별대책지역에서의 배출시설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제2호</w:t>
            </w:r>
          </w:p>
        </w:tc>
        <w:tc>
          <w:tcPr>
            <w:tcW w:type="pct" w:w="3500"/>
          </w:tcPr>
          <w:p>
            <w:pPr>
              <w:autoSpaceDN w:val="0"/>
              <w:autoSpaceDE w:val="0"/>
            </w:pPr>
            <w:r>
              <w:rPr>
                <w:rFonts w:ascii="맑은 고딕" w:hAnsi="맑은 고딕" w:eastAsia="맑은 고딕" w:cs="맑은 고딕"/>
                <w:color w:val="000000"/>
                <w:sz w:val="19"/>
              </w:rPr>
              <w:t>환경정책기본법 제38조에 따라 지정·고시된 특별대책지역에 설치하는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제2호</w:t>
            </w:r>
          </w:p>
        </w:tc>
        <w:tc>
          <w:tcPr>
            <w:tcW w:type="pct" w:w="3500"/>
          </w:tcPr>
          <w:p>
            <w:pPr>
              <w:autoSpaceDN w:val="0"/>
              <w:autoSpaceDE w:val="0"/>
            </w:pPr>
            <w:r>
              <w:rPr>
                <w:rFonts w:ascii="맑은 고딕" w:hAnsi="맑은 고딕" w:eastAsia="맑은 고딕" w:cs="맑은 고딕"/>
                <w:color w:val="000000"/>
                <w:sz w:val="19"/>
              </w:rPr>
              <w:t>대기오염물질(먼지·황산화물 및 질소산화물만 해당한다)의 발생량 합계가 연간 10톤 이상인 배출시설을 특별대책지역에 설치하는 경우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대기관리권역의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p>
        </w:tc>
        <w:tc>
          <w:tcPr>
            <w:tcW w:type="pct" w:w="3500"/>
          </w:tcPr>
          <w:p>
            <w:pPr>
              <w:autoSpaceDN w:val="0"/>
              <w:autoSpaceDE w:val="0"/>
            </w:pPr>
            <w:r>
              <w:rPr>
                <w:rFonts w:ascii="맑은 고딕" w:hAnsi="맑은 고딕" w:eastAsia="맑은 고딕" w:cs="맑은 고딕"/>
                <w:color w:val="000000"/>
                <w:sz w:val="19"/>
              </w:rPr>
              <w:t>대기관리권역에서 총량관리대상 오염물질을 대통령령으로 정하는 배출량을 초과하여 배출하는 사업장을 설치하거나 이에 해당하는 사업장으로 변경하려는 자는 기후에너지환경부장관으로부터 사업장설치의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산업입지 및 개발에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w:t>
            </w:r>
          </w:p>
        </w:tc>
        <w:tc>
          <w:tcPr>
            <w:tcW w:type="pct" w:w="3500"/>
          </w:tcPr>
          <w:p>
            <w:pPr>
              <w:autoSpaceDN w:val="0"/>
              <w:autoSpaceDE w:val="0"/>
            </w:pPr>
            <w:r>
              <w:rPr>
                <w:rFonts w:ascii="맑은 고딕" w:hAnsi="맑은 고딕" w:eastAsia="맑은 고딕" w:cs="맑은 고딕"/>
                <w:color w:val="000000"/>
                <w:sz w:val="19"/>
              </w:rPr>
              <w:t>국가산업단지개발계획의 변경에 관하여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https://www.law.go.kr/판례/(2021두33593)</w:t>
      </w:r>
    </w:p>
    <w:p>
      <w:pPr>
        <w:autoSpaceDN w:val="0"/>
        <w:autoSpaceDE w:val="0"/>
        <w:spacing w:before="80"/>
      </w:pPr>
      <w:r>
        <w:rPr>
          <w:rFonts w:ascii="맑은 고딕" w:hAnsi="맑은 고딕" w:eastAsia="맑은 고딕" w:cs="맑은 고딕"/>
          <w:color w:val="000000"/>
          <w:sz w:val="18"/>
        </w:rPr>
        <w:t>태그  #대기환경보전법 #특별대책지역 #배출시설설치제한 #소각시설증설 #총량관리 #산업단지개발계획 #행정판례 #대법원판례 #2021년판례 #2021두33593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