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산업단지 입주계약을 해도 건축허가와 개발행위허가는 따로 받아야 합니다</w:t>
      </w:r>
    </w:p>
    <w:p>
      <w:pPr>
        <w:autoSpaceDN w:val="0"/>
        <w:autoSpaceDE w:val="0"/>
        <w:pStyle w:val="law1"/>
        <w:spacing w:after="160"/>
      </w:pPr>
      <w:r>
        <w:rPr>
          <w:rFonts w:ascii="맑은 고딕" w:hAnsi="맑은 고딕" w:eastAsia="맑은 고딕" w:cs="맑은 고딕"/>
          <w:color w:val="000000"/>
        </w:rPr>
        <w:t>대법원 2021두33883 (2021.06.24 선고)</w:t>
      </w:r>
    </w:p>
    <w:p>
      <w:pPr>
        <w:autoSpaceDN w:val="0"/>
        <w:autoSpaceDE w:val="0"/>
        <w:spacing w:after="120"/>
      </w:pPr>
      <w:r>
        <w:rPr>
          <w:rFonts w:ascii="맑은 고딕" w:hAnsi="맑은 고딕" w:eastAsia="맑은 고딕" w:cs="맑은 고딕"/>
          <w:color w:val="000000"/>
        </w:rPr>
        <w:t>○ 산업단지 입주계약으로 공장설립 승인이 의제된 사업자가 아스콘 공장 건축허가를 신청했으나 환경오염 우려를 이유로 거부된 사건입니다. 대법원은 입주계약으로 공장설립 승인이 의제되더라도 건축허가와 개발행위허가는 별도로 받아야 하고, 환경오염 우려에 관한 행정청의 재량적 판단은 폭넓게 존중되며 재량권 일탈·남용의 증명책임은 이를 다투는 자에게 있다고 보았습니다.</w:t>
      </w:r>
    </w:p>
    <w:p>
      <w:pPr>
        <w:autoSpaceDN w:val="0"/>
        <w:autoSpaceDE w:val="0"/>
      </w:pP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산업단지 입주계약을 체결하면 건축허가도 받은 것이 되나요?</w:t>
            </w:r>
          </w:p>
          <w:p>
            <w:pPr>
              <w:autoSpaceDN w:val="0"/>
              <w:autoSpaceDE w:val="0"/>
            </w:pPr>
            <w:r>
              <w:rPr>
                <w:rFonts w:ascii="맑은 고딕" w:hAnsi="맑은 고딕" w:eastAsia="맑은 고딕" w:cs="맑은 고딕"/>
                <w:color w:val="000000"/>
                <w:sz w:val="19"/>
              </w:rPr>
              <w:t>A. 아닙니다. 공장설립 승인이 의제될 뿐이고, 건축법상 건축허가와 국토계획법상 개발행위허가는 별개의 제도이므로 따로 받아야 합니다.</w:t>
            </w:r>
          </w:p>
          <w:p>
            <w:pPr>
              <w:autoSpaceDN w:val="0"/>
              <w:autoSpaceDE w:val="0"/>
            </w:pPr>
          </w:p>
          <w:p>
            <w:pPr>
              <w:autoSpaceDN w:val="0"/>
              <w:autoSpaceDE w:val="0"/>
            </w:pPr>
            <w:r>
              <w:rPr>
                <w:rFonts w:ascii="맑은 고딕" w:hAnsi="맑은 고딕" w:eastAsia="맑은 고딕" w:cs="맑은 고딕"/>
                <w:b/>
                <w:color w:val="000000"/>
                <w:sz w:val="19"/>
              </w:rPr>
              <w:t>Q. 입주계약 당시 아스콘 제조 계획을 밝혔으면 건축허가에 대한 신뢰가 생기나요?</w:t>
            </w:r>
          </w:p>
          <w:p>
            <w:pPr>
              <w:autoSpaceDN w:val="0"/>
              <w:autoSpaceDE w:val="0"/>
            </w:pPr>
            <w:r>
              <w:rPr>
                <w:rFonts w:ascii="맑은 고딕" w:hAnsi="맑은 고딕" w:eastAsia="맑은 고딕" w:cs="맑은 고딕"/>
                <w:color w:val="000000"/>
                <w:sz w:val="19"/>
              </w:rPr>
              <w:t>A. 그렇지 않습니다. 입주계약을 체결하여 공장설립 승인을 받은 것으로 보게 되었더라도 곧바로 건축허가·개발행위허가를 받으리라는 정당한 신뢰를 갖게 된다고 보기 어렵습니다.</w:t>
            </w:r>
          </w:p>
          <w:p>
            <w:pPr>
              <w:autoSpaceDN w:val="0"/>
              <w:autoSpaceDE w:val="0"/>
            </w:pPr>
          </w:p>
          <w:p>
            <w:pPr>
              <w:autoSpaceDN w:val="0"/>
              <w:autoSpaceDE w:val="0"/>
            </w:pPr>
            <w:r>
              <w:rPr>
                <w:rFonts w:ascii="맑은 고딕" w:hAnsi="맑은 고딕" w:eastAsia="맑은 고딕" w:cs="맑은 고딕"/>
                <w:b/>
                <w:color w:val="000000"/>
                <w:sz w:val="19"/>
              </w:rPr>
              <w:t>Q. 사후 규제가 가능하니 일단 허가해야 하는 것 아닌가요?</w:t>
            </w:r>
          </w:p>
          <w:p>
            <w:pPr>
              <w:autoSpaceDN w:val="0"/>
              <w:autoSpaceDE w:val="0"/>
            </w:pPr>
            <w:r>
              <w:rPr>
                <w:rFonts w:ascii="맑은 고딕" w:hAnsi="맑은 고딕" w:eastAsia="맑은 고딕" w:cs="맑은 고딕"/>
                <w:color w:val="000000"/>
                <w:sz w:val="19"/>
              </w:rPr>
              <w:t>A. 환경이 오염되면 원상회복이 거의 불가능한 경우가 많아 사후 규제만으로는 한계가 있으므로, 심각한 오염 우려가 있으면 미리 방지하는 것이 중요합니다.</w:t>
            </w:r>
          </w:p>
        </w:tc>
      </w:tr>
    </w:tbl>
    <w:p>
      <w:pPr>
        <w:autoSpaceDN w:val="0"/>
        <w:autoSpaceDE w:val="0"/>
      </w:pPr>
    </w:p>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2021두33883</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2021.06.24</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 주식회사 · 피고 울산광역시 울주군수</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(건축허가거부처분취소)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부산고법 2020누20439 (2021. 1. 13.)</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파기환송</w:t>
            </w:r>
          </w:p>
        </w:tc>
      </w:tr>
    </w:tbl>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울산광역시장은 2008. 1. 17. 울산 울주군 일원을 일반산업단지로 지정하여 개발사업을 시행하였고, 2015. 7. 2. 분양비율을 높이기 위하여 7개 입주제한 업종을 제외한 모든 업종이 입주 가능한 ‘유치업종 미지정 지역’을 두는 것으로 산업단지계획을 변경하였다.</w:t>
      </w:r>
      <w:r>
        <w:rPr>
          <w:rFonts w:ascii="맑은 고딕" w:hAnsi="맑은 고딕" w:eastAsia="맑은 고딕" w:cs="맑은 고딕"/>
          <w:color w:val="000000"/>
        </w:rPr>
        <w:br/>
      </w:r>
      <w:r>
        <w:rPr>
          <w:rFonts w:ascii="맑은 고딕" w:hAnsi="맑은 고딕" w:eastAsia="맑은 고딕" w:cs="맑은 고딕"/>
          <w:color w:val="000000"/>
        </w:rPr>
        <w:t>② 원고는 위 유치업종 미지정 지역에 있는 이 사건 공장부지에서 아스콘 공장을 운영하기 위하여 2016. 7. 15. 관리기관인 울산광역시장과 산업집적법에 따른 입주계약을 체결하였다. 이 사건 공장부지는 국토계획법상 일반공업지역에 속한다.</w:t>
      </w:r>
      <w:r>
        <w:rPr>
          <w:rFonts w:ascii="맑은 고딕" w:hAnsi="맑은 고딕" w:eastAsia="맑은 고딕" w:cs="맑은 고딕"/>
          <w:color w:val="000000"/>
        </w:rPr>
        <w:br/>
      </w:r>
      <w:r>
        <w:rPr>
          <w:rFonts w:ascii="맑은 고딕" w:hAnsi="맑은 고딕" w:eastAsia="맑은 고딕" w:cs="맑은 고딕"/>
          <w:color w:val="000000"/>
        </w:rPr>
        <w:t>③ 원고는 2018. 1. 17. 건축행정청인 피고에게 이 사건 공장부지에 아스콘 공장(건축면적 2,174.9㎡)을 신축하기 위한 건축허가를 신청하였다.</w:t>
      </w:r>
      <w:r>
        <w:rPr>
          <w:rFonts w:ascii="맑은 고딕" w:hAnsi="맑은 고딕" w:eastAsia="맑은 고딕" w:cs="맑은 고딕"/>
          <w:color w:val="000000"/>
        </w:rPr>
        <w:br/>
      </w:r>
      <w:r>
        <w:rPr>
          <w:rFonts w:ascii="맑은 고딕" w:hAnsi="맑은 고딕" w:eastAsia="맑은 고딕" w:cs="맑은 고딕"/>
          <w:color w:val="000000"/>
        </w:rPr>
        <w:t>④ 피고는 2018. 2. 1. 공장부지 인근에 주거지역과 울산 시민의 식수원인 태화강 상류가 있고 아스콘 제조업의 특성상 비산먼지·수질오염·소음 등 환경 문제가 발생할 수 있다는 등의 사유로 건축 불허가 처분을 하였다.</w:t>
      </w:r>
      <w:r>
        <w:rPr>
          <w:rFonts w:ascii="맑은 고딕" w:hAnsi="맑은 고딕" w:eastAsia="맑은 고딕" w:cs="맑은 고딕"/>
          <w:color w:val="000000"/>
        </w:rPr>
        <w:br/>
      </w:r>
      <w:r>
        <w:rPr>
          <w:rFonts w:ascii="맑은 고딕" w:hAnsi="맑은 고딕" w:eastAsia="맑은 고딕" w:cs="맑은 고딕"/>
          <w:color w:val="000000"/>
        </w:rPr>
        <w:t>⑤ 원심은 울산광역시장이 작성한 환경보전방안, 원고의 환경오염 방지대책, 공장부지와 주거지역 사이의 국도·방음벽, 사후 제재수단의 존재 등을 이유로 이 사건 처분에 재량권을 일탈·남용한 위법이 있다고 판단하였다.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rPr>
        <w:t>이 사건의 쟁점은, 산업단지 입주계약 체결로 공장설립 승인이 의제되는 경우에도 건축허가와 개발행위허가를 별도로 받아야 하는지 여부와, 환경오염 우려를 처분사유로 하는 불허가처분에 대한 재량권 일탈·남용의 심사 방법 및 그 증명책임의 소재이다.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환경보전방안의 예측 내용, 원고의 환경오염 방지대책, 피고가 객관적·실증적 근거를 제시하지 않은 점, 공장부지와 주거지역 사이의 국도와 방음벽, 사후 제재수단의 존재 등을 이유로 이 사건 처분에 재량권을 일탈·남용한 위법이 있다고 판단하였다.</w:t>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판단은 다음과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t>③ 산업집적법에 따르면 산업단지에서 제조업을 하려는 자가 관리기관과 입주계약을 체결한 때에는 공장설립 승인을 받은 것으로 의제되나, 건축법상 건축허가 또는 국토계획법상 개발행위허가를 받은 것으로 의제하는 규정은 없다. 또한 입주계약은 건축허가나 개발행위허가와는 목적과 취지, 요건과 효과를 달리하는 별개의 제도이므로, 공장건물을 건축하려면 건축허가와 개발행위허가를 받아야 한다.</w:t>
      </w:r>
      <w:r>
        <w:rPr>
          <w:rFonts w:ascii="맑은 고딕" w:hAnsi="맑은 고딕" w:eastAsia="맑은 고딕" w:cs="맑은 고딕"/>
          <w:color w:val="000000"/>
        </w:rPr>
        <w:br/>
      </w:r>
      <w:r>
        <w:rPr>
          <w:rFonts w:ascii="맑은 고딕" w:hAnsi="맑은 고딕" w:eastAsia="맑은 고딕" w:cs="맑은 고딕"/>
          <w:color w:val="000000"/>
        </w:rPr>
        <w:t>④ 국토계획법이 정한 용도지역 내에서의 건축허가는 건축법상 건축허가와 국토계획법상 개발행위허가의 성질을 아울러 가지고 있고, 개발행위허가는 허가기준 및 금지요건이 불확정개념으로 규정된 부분이 많아 그 요건 해당 여부는 행정청의 재량판단의 영역에 속한다.</w:t>
      </w:r>
      <w:r>
        <w:rPr>
          <w:rFonts w:ascii="맑은 고딕" w:hAnsi="맑은 고딕" w:eastAsia="맑은 고딕" w:cs="맑은 고딕"/>
          <w:color w:val="000000"/>
        </w:rPr>
        <w:br/>
      </w:r>
      <w:r>
        <w:rPr>
          <w:rFonts w:ascii="맑은 고딕" w:hAnsi="맑은 고딕" w:eastAsia="맑은 고딕" w:cs="맑은 고딕"/>
          <w:color w:val="000000"/>
        </w:rPr>
        <w:t>⑤ ‘환경오염 발생 우려’와 같이 장래에 발생할 불확실한 상황과 파급효과에 대한 예측이 필요한 요건에 관한 행정청의 재량적 판단은, 그 내용이 현저히 합리성을 결여하였다거나 형평이나 비례의 원칙에 뚜렷하게 배치되는 등의 사정이 없는 한 폭넓게 존중하여야 하고, 재량권을 일탈·남용하였다는 사정은 그 처분의 효력을 다투는 자가 주장·증명하여야 한다.</w:t>
      </w:r>
      <w:r>
        <w:rPr>
          <w:rFonts w:ascii="맑은 고딕" w:hAnsi="맑은 고딕" w:eastAsia="맑은 고딕" w:cs="맑은 고딕"/>
          <w:color w:val="000000"/>
        </w:rPr>
        <w:br/>
      </w:r>
      <w:r>
        <w:rPr>
          <w:rFonts w:ascii="맑은 고딕" w:hAnsi="맑은 고딕" w:eastAsia="맑은 고딕" w:cs="맑은 고딕"/>
          <w:color w:val="000000"/>
        </w:rPr>
        <w:t>⑥ 아스콘 제조 공정에서 다량의 석유화합물이 배출되리라는 점은 일반인의 상식으로도 쉽게 예상할 수 있으므로, 특별히 정제되거나 가공된 원료를 사용한다거나 특별한 최신 공법을 적용한다는 예외적 사정이 없는 한 아스콘 공장은 대기환경보전법에서 정한 특정대기유해물질 배출시설이라고 볼 수밖에 없다.</w:t>
      </w:r>
      <w:r>
        <w:rPr>
          <w:rFonts w:ascii="맑은 고딕" w:hAnsi="맑은 고딕" w:eastAsia="맑은 고딕" w:cs="맑은 고딕"/>
          <w:color w:val="000000"/>
        </w:rPr>
        <w:br/>
      </w:r>
      <w:r>
        <w:rPr>
          <w:rFonts w:ascii="맑은 고딕" w:hAnsi="맑은 고딕" w:eastAsia="맑은 고딕" w:cs="맑은 고딕"/>
          <w:color w:val="000000"/>
        </w:rPr>
        <w:t>⑦ 원고가 제시한 대책은 혼합 공정의 온도를 낮추어 황산화물·질소산화물·탄화수소·미세먼지와 악취를 줄이겠다는 것에 초점이 맞추어져 있을 뿐, 아스콘 공장에서 일반적으로 발생하는 나머지 특정대기유해물질과 대기오염물질의 저감 방안은 제시되어 있지 않아 충분한 대책을 세웠다고 보기 어렵다.</w:t>
      </w:r>
      <w:r>
        <w:rPr>
          <w:rFonts w:ascii="맑은 고딕" w:hAnsi="맑은 고딕" w:eastAsia="맑은 고딕" w:cs="맑은 고딕"/>
          <w:color w:val="000000"/>
        </w:rPr>
        <w:br/>
      </w:r>
      <w:r>
        <w:rPr>
          <w:rFonts w:ascii="맑은 고딕" w:hAnsi="맑은 고딕" w:eastAsia="맑은 고딕" w:cs="맑은 고딕"/>
          <w:color w:val="000000"/>
        </w:rPr>
        <w:t>⑧ 공장부지와 주거지역 사이의 국도와 방음벽은 소음을 일부 차단할 수 있을 뿐 대기오염물질의 확산까지 막을 수 있다고 보이지 않고, 지형상 대기오염물질이 인근 주거지역에 장기간 정체·축적될 가능성도 있다.</w:t>
      </w:r>
      <w:r>
        <w:rPr>
          <w:rFonts w:ascii="맑은 고딕" w:hAnsi="맑은 고딕" w:eastAsia="맑은 고딕" w:cs="맑은 고딕"/>
          <w:color w:val="000000"/>
        </w:rPr>
        <w:br/>
      </w:r>
      <w:r>
        <w:rPr>
          <w:rFonts w:ascii="맑은 고딕" w:hAnsi="맑은 고딕" w:eastAsia="맑은 고딕" w:cs="맑은 고딕"/>
          <w:color w:val="000000"/>
        </w:rPr>
        <w:t>⑨ 환경이 오염되면 원상회복이 거의 불가능한 경우가 많아 사후 규제만으로는 한계가 있으므로, 식수원인 태화강 상류에 인접하고 주변에 다수 주민이 거주하는 입지를 고려하면 사후 규제수단의 존재만으로 환경오염 우려가 불식된다고 볼 수 없다.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산업집적활성화 및 공장설립에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 제2항 제2호</w:t>
            </w:r>
          </w:p>
        </w:tc>
        <w:tc>
          <w:tcPr>
            <w:tcW w:type="pct" w:w="3500"/>
          </w:tcPr>
          <w:p>
            <w:pPr>
              <w:autoSpaceDN w:val="0"/>
              <w:autoSpaceDE w:val="0"/>
            </w:pPr>
            <w:r>
              <w:rPr>
                <w:rFonts w:ascii="맑은 고딕" w:hAnsi="맑은 고딕" w:eastAsia="맑은 고딕" w:cs="맑은 고딕"/>
                <w:color w:val="000000"/>
                <w:sz w:val="19"/>
              </w:rPr>
              <w:t>산업단지에서 제조업을 하려는 자가 관리기관과 입주계약을 체결한 경우에는 공장설립 등의 승인을 받은 것으로 본다.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산업집적활성화 및 공장설립에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제38조 제1항</w:t>
            </w:r>
          </w:p>
        </w:tc>
        <w:tc>
          <w:tcPr>
            <w:tcW w:type="pct" w:w="3500"/>
          </w:tcPr>
          <w:p>
            <w:pPr>
              <w:autoSpaceDN w:val="0"/>
              <w:autoSpaceDE w:val="0"/>
            </w:pPr>
            <w:r>
              <w:rPr>
                <w:rFonts w:ascii="맑은 고딕" w:hAnsi="맑은 고딕" w:eastAsia="맑은 고딕" w:cs="맑은 고딕"/>
                <w:color w:val="000000"/>
                <w:sz w:val="19"/>
              </w:rPr>
              <w:t>산업단지에서 제조업을 하려는 자는 관리기관과 입주계약을 체결하여야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건축법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제11조 제1항</w:t>
            </w:r>
          </w:p>
        </w:tc>
        <w:tc>
          <w:tcPr>
            <w:tcW w:type="pct" w:w="3500"/>
          </w:tcPr>
          <w:p>
            <w:pPr>
              <w:autoSpaceDN w:val="0"/>
              <w:autoSpaceDE w:val="0"/>
            </w:pPr>
            <w:r>
              <w:rPr>
                <w:rFonts w:ascii="맑은 고딕" w:hAnsi="맑은 고딕" w:eastAsia="맑은 고딕" w:cs="맑은 고딕"/>
                <w:color w:val="000000"/>
                <w:sz w:val="19"/>
              </w:rPr>
              <w:t>건축물을 건축하거나 대수선하려는 자는 특별자치시장·특별자치도지사 또는 시장·군수·구청장의 허가를 받아야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국토의 계획 및 이용에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제56조 제1항</w:t>
            </w:r>
          </w:p>
        </w:tc>
        <w:tc>
          <w:tcPr>
            <w:tcW w:type="pct" w:w="3500"/>
          </w:tcPr>
          <w:p>
            <w:pPr>
              <w:autoSpaceDN w:val="0"/>
              <w:autoSpaceDE w:val="0"/>
            </w:pPr>
            <w:r>
              <w:rPr>
                <w:rFonts w:ascii="맑은 고딕" w:hAnsi="맑은 고딕" w:eastAsia="맑은 고딕" w:cs="맑은 고딕"/>
                <w:color w:val="000000"/>
                <w:sz w:val="19"/>
              </w:rPr>
              <w:t>건축물의 건축, 공작물의 설치, 토지의 형질 변경 등 개발행위를 하려는 자는 특별시장·광역시장·시장 또는 군수의 허가를 받아야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제9호</w:t>
            </w:r>
          </w:p>
        </w:tc>
        <w:tc>
          <w:tcPr>
            <w:tcW w:type="pct" w:w="3500"/>
          </w:tcPr>
          <w:p>
            <w:pPr>
              <w:autoSpaceDN w:val="0"/>
              <w:autoSpaceDE w:val="0"/>
            </w:pPr>
            <w:r>
              <w:rPr>
                <w:rFonts w:ascii="맑은 고딕" w:hAnsi="맑은 고딕" w:eastAsia="맑은 고딕" w:cs="맑은 고딕"/>
                <w:color w:val="000000"/>
                <w:sz w:val="19"/>
              </w:rPr>
              <w:t>‘특정대기유해물질’이란 유해성대기감시물질 중 저농도에서도 장기적인 섭취나 노출에 의하여 사람의 건강이나 동식물의 생육에 위해를 끼칠 수 있어 대기 배출에 대한 관리가 필요하다고 인정된 물질로서 기후에너지환경부령으로 정하는 것을 말한다.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제1항</w:t>
            </w:r>
          </w:p>
        </w:tc>
        <w:tc>
          <w:tcPr>
            <w:tcW w:type="pct" w:w="3500"/>
          </w:tcPr>
          <w:p>
            <w:pPr>
              <w:autoSpaceDN w:val="0"/>
              <w:autoSpaceDE w:val="0"/>
            </w:pPr>
            <w:r>
              <w:rPr>
                <w:rFonts w:ascii="맑은 고딕" w:hAnsi="맑은 고딕" w:eastAsia="맑은 고딕" w:cs="맑은 고딕"/>
                <w:color w:val="000000"/>
                <w:sz w:val="19"/>
              </w:rPr>
              <w:t>배출시설을 설치하려는 자는 대통령령으로 정하는 바에 따라 시·도지사의 허가를 받거나 시·도지사에게 신고하여야 한다.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https://www.law.go.kr/판례/(2021두33883)</w:t>
      </w:r>
    </w:p>
    <w:p>
      <w:pPr>
        <w:autoSpaceDN w:val="0"/>
        <w:autoSpaceDE w:val="0"/>
        <w:spacing w:before="80"/>
      </w:pPr>
      <w:r>
        <w:rPr>
          <w:rFonts w:ascii="맑은 고딕" w:hAnsi="맑은 고딕" w:eastAsia="맑은 고딕" w:cs="맑은 고딕"/>
          <w:color w:val="000000"/>
          <w:sz w:val="18"/>
        </w:rPr>
        <w:t>태그  #대기환경보전법 #아스콘 #특정대기유해물질 #건축허가 #개발행위허가 #산업단지입주계약 #행정판례 #대법원판례 #2021년판례 #2021두33883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