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>
      <w:pPr>
        <w:autoSpaceDN w:val="0"/>
        <w:autoSpaceDE w:val="0"/>
        <w:spacing w:after="60"/>
      </w:pPr>
      <w:r>
        <w:rPr>
          <w:rFonts w:ascii="맑은 고딕" w:hAnsi="맑은 고딕" w:eastAsia="맑은 고딕" w:cs="맑은 고딕"/>
          <w:b/>
          <w:color w:val="000000"/>
          <w:sz w:val="30"/>
        </w:rPr>
        <w:t>전처리시설과 종말처리장이 한 몸이면 별도 기준을 고시할 수 없습니다</w:t>
      </w:r>
    </w:p>
    <w:p>
      <w:pPr>
        <w:autoSpaceDN w:val="0"/>
        <w:autoSpaceDE w:val="0"/>
        <w:pStyle w:val="law1"/>
        <w:spacing w:after="160"/>
      </w:pPr>
      <w:r>
        <w:rPr>
          <w:rFonts w:ascii="맑은 고딕" w:hAnsi="맑은 고딕" w:eastAsia="맑은 고딕" w:cs="맑은 고딕"/>
          <w:color w:val="000000"/>
        </w:rPr>
        <w:t>대법원 2003두3246 (2004.12.10 선고)</w:t>
      </w:r>
    </w:p>
    <w:p>
      <w:pPr>
        <w:autoSpaceDN w:val="0"/>
        <w:autoSpaceDE w:val="0"/>
        <w:spacing w:after="120"/>
      </w:pPr>
      <w:r>
        <w:rPr>
          <w:rFonts w:ascii="맑은 고딕" w:hAnsi="맑은 고딕" w:eastAsia="맑은 고딕" w:cs="맑은 고딕"/>
          <w:color w:val="000000"/>
        </w:rPr>
        <w:t>○ 농공단지 폐수종말처리장과 그 전단계 전처리 공동방지시설에 대하여 환경부장관이 별도의 배출허용기준을 고시하고, 그 초과를 이유로 부과금을 부과한 사건입니다. 대법원은 두 시설이 유기적 일체성을 가진 하나의 시설이므로 별도의 배출허용기준을 고시할 수 있는 경우에 해당하지 않는다고 보았습니다.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9026"/>
      </w:tblGrid>
      <w:tr>
        <w:tc>
          <w:tcPr>
            <w:tcW w:type="pct" w:w="50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1"/>
              </w:rPr>
              <w:t>※ 간단요약</w:t>
            </w:r>
          </w:p>
        </w:tc>
      </w:tr>
      <w:tr>
        <w:tc>
          <w:tcPr>
            <w:tcW w:type="pct" w:w="5000"/>
            <w:shd w:val="clear" w:color="auto" w:fill="F7F7F7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종말처리시설을 거쳐 배출해도 초과배출부과금 대상인가요?</w:t>
            </w: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A. 그렇습니다. 폐수배출시설이 수질오염물질을 공공수역에 직접 배출하는 경우뿐 아니라 폐수종말처리시설 등을 통하여 배출하는 경우에도 부과할 수 있습니다.</w:t>
            </w:r>
          </w:p>
          <w:p>
            <w:pPr>
              <w:autoSpaceDN w:val="0"/>
              <w:autoSpaceDE w:val="0"/>
            </w:pP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종말처리시설 배수구역 안의 배출시설에 별도 기준을 적용하는 규정은 유효한가요?</w:t>
            </w: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A. 유효합니다. 종말처리시설 설계기준 농도 이내에서 별도 배출허용기준을 적용하도록 한 시행규칙 [별표] 비고는 상위법령의 위임 취지나 범위를 벗어난 무효의 규정이라고 할 수 없습니다.</w:t>
            </w:r>
          </w:p>
          <w:p>
            <w:pPr>
              <w:autoSpaceDN w:val="0"/>
              <w:autoSpaceDE w:val="0"/>
            </w:pP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그런데 왜 이 사건 고시는 위법한가요?</w:t>
            </w: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A. 전처리 공동방지시설과 종말처리장이 비용부담·위치·설계구조상 밀접성과 상호 보완관계에 비추어 유기적 일체성을 가진 하나의 시설이어서, 별도 기준을 고시할 수 있는 경우에 해당하지 않기 때문입니다.</w:t>
            </w:r>
          </w:p>
        </w:tc>
      </w:tr>
    </w:tbl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</w:pPr>
      <w:r>
        <w:rPr>
          <w:rFonts w:ascii="맑은 고딕" w:hAnsi="맑은 고딕" w:eastAsia="맑은 고딕" w:cs="맑은 고딕"/>
          <w:color w:val="000000"/>
        </w:rPr>
        <w:t>1. 사건 개요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사건번호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2003두3246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선고일자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2004.12.10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법원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대법원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당사자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원고 ○○농공단지 전처리공동방지시설운영위원회 · 피고 전라남도지사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사건종류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일반행정 (배출부과금부과처분취소)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원심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광주고법 98누792 (2003. 3. 13.)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결과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원심 파기환송</w:t>
            </w:r>
          </w:p>
        </w:tc>
      </w:tr>
    </w:tbl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2. 사실관계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</w:rPr>
        <w:t>① 목포시는 산정농공단지로부터 배출되는 오염물질의 공동처리를 위하여 폐수종말처리장을 설치하면서, 원고로 하여금 그 전단계의 오염물질 방지시설로 전(前)처리 공동방지시설을 설치하도록 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② 원고는 공동방지시설의 설치 및 관리운영비 전액을 부담하는 외에도 종말처리장의 설치비 1/2과 관리운영비 전액을 각 부담하였다.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③ 농공단지의 개별 사업장에서 배출된 폐수는 전량이 공동방지시설로 유입되어 물리·화학적 방식으로 처리된 후 약 20m 길이의 배수관거를 통하여 같은 부지 내 종말처리장으로 유입되어 생물학적 방식으로 처리된 뒤 방류되었고, 다른 경로로 유입되는 폐수는 없었다.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④ 환경부장관은 공동방지시설이 시행규칙 [별표 5] 비고 규정에 따라 별도로 배출허용기준을 정할 수 있는 경우라고 보아, 생물학적 산소요구량 927㎎/ℓ 등으로 하는 별도 배출허용기준을 고시하였다.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⑤ 종말처리장을 통하여 최종 처리된 방류수의 측정수치는 법령상 기준을 밑돌았으나, 공동방지시설에서 채취한 시료의 측정수치가 위 고시 기준을 초과하자 피고는 초과배출부과금을 부과하였다.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3. 쟁점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</w:rPr>
        <w:t>이 사건의 쟁점은, 폐수종말처리시설 안에 위치한 폐수배출시설에 별도의 배출허용기준을 적용하도록 한 시행규칙 [별표] 비고 규정이 무효인지 여부와, 농공단지 폐수종말처리장과 그 전단계 전처리 공동방지시설에 대하여 별도의 배출허용기준을 고시할 수 있는지 여부이다.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4. 판단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</w:rPr>
        <w:t>① 원심의 판단 원심은 공동방지시설과 종말처리장은 설치·운영의 주체, 시설 목적과 규모, 처리효율 등이 서로 다른 별개의 시설이라는 전제에서, 환경부장관이 별도로 정한 이 사건 고시가 유효하다고 보아 초과배출부과금 부과처분이 적법하다고 판단하였다.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② 대법원의 판단 시행규칙 비고 규정이 유효하다고 본 부분은 정당하나, 이 사건 고시가 유효하다고 본 부분은 수긍하기 어렵다.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③ 관계 법령의 규정 등을 종합하면, 초과배출부과금은 폐수배출시설이 수질오염물질을 공공수역에 직접 배출하는 경우뿐 아니라 폐수종말처리시설 등을 통하여 공공수역에 배출하는 경우에도 부과할 수 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④ 그러므로 종말처리시설의 배수구역 안에 위치한 폐수배출시설에 대하여, 종말처리시설 설치사업시행자의 요청에 의하여 그 설계기준 농도 이내에서 환경부장관이 별도로 정한 배출허용기준을 적용하도록 한 시행규칙 [별표 5] 비고의 규정이 상위법령의 위임 취지나 범위를 벗어난 무효의 규정이라고 할 수 없다.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⑤ 한편 시료 채취의 절차·방법 등에 관하여, 환경오염물질배출사업장 지도·점검에 관한 규정이나 수질오염공정시험방법은 행정기관 내부의 사무처리준칙에 불과하므로 그 절차를 따르지 아니하였다고 하여 처분이 위법하다고 볼 수 없다.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⑥ 그러나 이 사건 공동방지시설과 종말처리장은 설치 및 운영의 비용부담, 위치와 설계·구조상 밀접성 및 상호 보완관계 등에 비추어 볼 때 유기적 일체성을 가진 하나의 시설로 봄이 상당하다.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⑦ 그렇다면 법령에 의한 종말처리장의 방류수 수질기준과는 별도로 시행규칙 [별표 5] 비고가 규정한 바에 의하여 별도의 배출허용기준을 고시할 수 있는 경우에 해당하지 않는다.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⑧ 그럼에도 원심이 두 시설을 별개의 시설이라는 전제에서 이 사건 고시가 유효하다고 보아 부과처분이 적법하다고 판단한 데에는 처리시설의 성격에 관한 사실오인과 고시의 효력에 관한 법리오해의 위법이 있다.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5. 판결요지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</w:rPr>
        <w:t>① 구 수질환경보전법 관계 규정 등을 종합하면, 초과배출부과금은 폐수배출시설이 수질오염물질을 공공수역에 직접 배출하는 경우뿐 아니라 폐수종말처리시설 등을 통하여 공공수역에 배출하는 경우에도 부과할 수 있으므로, 종말처리시설의 배수구역 안에 위치한 폐수배출시설에 대하여 종말처리시설 설치사업시행자의 요청에 의하여 폐수종말처리시설의 설계기준 농도 이내에서 환경부장관이 별도로 정한 배출허용기준을 적용하도록 한 시행규칙 [별표 5] 비고의 규정이 상위법령의 위임의 취지나 범위를 벗어난 무효의 규정이라고 할 수 없다.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② 농공단지 폐수종말처리장과 그 전단계 오염물질 방지시설로 전처리 공동방지시설을 설치한 경우, 양 시설의 설치 및 운영의 비용부담, 위치와 설계·구조상 밀접성 및 상호 보완관계 등에 비추어 유기적 일체성을 가진 하나의 시설로 봄이 상당하므로 법령에 의한 종말처리장의 방류수 수질기준과는 별도로 시행규칙 [별표 5] 비고가 규정한 바에 의하여 별도의 배출허용기준을 고시할 수 없다.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6. 적용 법령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5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조항</w:t>
            </w:r>
          </w:p>
        </w:tc>
        <w:tc>
          <w:tcPr>
            <w:tcW w:type="pct" w:w="35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적용 문구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제32조 제1항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폐수배출시설에서 배출되는 수질오염물질의 배출허용기준은 기후에너지환경부령으로 정한다.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제41조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기후에너지환경부장관은 수질오염물질을 배출하는 사업자 등에게 배출부과금을 부과·징수한다.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제48조 제1항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국가·지방자치단체 등은 수질오염이 악화되어 환경기준을 유지하기 곤란하거나 물환경 보전에 필요하다고 인정할 때에는 공공폐수처리시설을 설치·운영할 수 있다.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제35조 제4항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사업자는 배출시설로부터 배출되는 수질오염물질의 공동처리를 위한 공동방지시설을 설치할 수 있고, 이 경우 각 사업자가 사업장별로 방지시설을 설치한 것으로 본다.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 시행규칙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제34조 [별표 13]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수질오염물질의 배출허용기준을 정하고 있으며, 공공폐수처리시설에 폐수를 전량 유입하는 배출시설에 대한 별도 기준의 근거를 두고 있다.</w:t>
            </w:r>
          </w:p>
        </w:tc>
      </w:tr>
    </w:tbl>
    <w:p>
      <w:pPr>
        <w:autoSpaceDN w:val="0"/>
        <w:autoSpaceDE w:val="0"/>
        <w:pStyle w:val="note"/>
        <w:spacing w:before="80"/>
      </w:pPr>
      <w:r>
        <w:rPr>
          <w:rFonts w:ascii="맑은 고딕" w:hAnsi="맑은 고딕" w:eastAsia="맑은 고딕" w:cs="맑은 고딕"/>
          <w:color w:val="000000"/>
        </w:rPr>
        <w:t>※ ‘적용 문구’는 현행 조문을 요약한 것으로, 구법이 적용된 사건은 당시 조문과 다를 수 있습니다.</w:t>
      </w:r>
    </w:p>
    <w:p>
      <w:pPr>
        <w:autoSpaceDN w:val="0"/>
        <w:autoSpaceDE w:val="0"/>
        <w:pStyle w:val="note"/>
        <w:spacing w:before="120"/>
      </w:pPr>
      <w:r>
        <w:rPr>
          <w:rFonts w:ascii="맑은 고딕" w:hAnsi="맑은 고딕" w:eastAsia="맑은 고딕" w:cs="맑은 고딕"/>
          <w:color w:val="000000"/>
        </w:rPr>
        <w:t>※ 본 정리는 국가법령정보센터 판례를 정리한 참고자료이며, 구체적 사안은 판결 원문과 전문가 검토가 필요합니다.</w:t>
      </w:r>
    </w:p>
    <w:p>
      <w:pPr>
        <w:autoSpaceDN w:val="0"/>
        <w:autoSpaceDE w:val="0"/>
        <w:spacing w:before="120"/>
      </w:pPr>
      <w:r>
        <w:rPr>
          <w:rFonts w:ascii="맑은 고딕" w:hAnsi="맑은 고딕" w:eastAsia="맑은 고딕" w:cs="맑은 고딕"/>
          <w:color w:val="000000"/>
          <w:sz w:val="18"/>
        </w:rPr>
        <w:t>원문  https://www.law.go.kr/판례/(2003두3246)</w:t>
      </w:r>
    </w:p>
    <w:p>
      <w:pPr>
        <w:autoSpaceDN w:val="0"/>
        <w:autoSpaceDE w:val="0"/>
        <w:spacing w:before="80"/>
      </w:pPr>
      <w:r>
        <w:rPr>
          <w:rFonts w:ascii="맑은 고딕" w:hAnsi="맑은 고딕" w:eastAsia="맑은 고딕" w:cs="맑은 고딕"/>
          <w:color w:val="000000"/>
          <w:sz w:val="18"/>
        </w:rPr>
        <w:t>태그  #물환경보전법 #초과배출부과금 #공동방지시설 #폐수종말처리시설 #배출허용기준 #고시 #행정판례 #대법원판례 #2004년판례 #2003두3246 #환경법 #환경인허가 #인허가서대리 #서대리</w:t>
      </w:r>
    </w:p>
    <w:p>
      <w:pPr>
        <w:autoSpaceDN w:val="0"/>
        <w:autoSpaceDE w:val="0"/>
        <w:pStyle w:val="mark"/>
      </w:pPr>
      <w:r>
        <w:rPr>
          <w:rFonts w:ascii="맑은 고딕" w:hAnsi="맑은 고딕" w:eastAsia="맑은 고딕" w:cs="맑은 고딕"/>
          <w:color w:val="000000"/>
        </w:rPr>
        <w:t>인허가 서대리  https://seodaeri.com/</w:t>
      </w:r>
    </w:p>
    <w:sectPr w:rsidR="00B27BF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5019F" w14:textId="77777777" w:rsidR="00B27BFC" w:rsidRDefault="00B27BFC" w:rsidP="00F52617">
      <w:r>
        <w:separator/>
      </w:r>
    </w:p>
  </w:endnote>
  <w:endnote w:type="continuationSeparator" w:id="0">
    <w:p w14:paraId="7974C6BA" w14:textId="77777777" w:rsidR="00B27BFC" w:rsidRDefault="00B27BFC" w:rsidP="00F52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AD215" w14:textId="77777777" w:rsidR="00B27BFC" w:rsidRDefault="00B27BFC" w:rsidP="00F52617">
      <w:r>
        <w:separator/>
      </w:r>
    </w:p>
  </w:footnote>
  <w:footnote w:type="continuationSeparator" w:id="0">
    <w:p w14:paraId="7300C114" w14:textId="77777777" w:rsidR="00B27BFC" w:rsidRDefault="00B27BFC" w:rsidP="00F526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B13F6"/>
    <w:multiLevelType w:val="multilevel"/>
    <w:tmpl w:val="EF2AA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A3F22"/>
    <w:multiLevelType w:val="multilevel"/>
    <w:tmpl w:val="801AD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AF3513"/>
    <w:multiLevelType w:val="multilevel"/>
    <w:tmpl w:val="A90A5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35387B"/>
    <w:multiLevelType w:val="multilevel"/>
    <w:tmpl w:val="0E32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799665">
    <w:abstractNumId w:val="2"/>
  </w:num>
  <w:num w:numId="2" w16cid:durableId="1051461951">
    <w:abstractNumId w:val="0"/>
  </w:num>
  <w:num w:numId="3" w16cid:durableId="1212620573">
    <w:abstractNumId w:val="3"/>
  </w:num>
  <w:num w:numId="4" w16cid:durableId="627400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17"/>
    <w:rsid w:val="00A42A17"/>
    <w:rsid w:val="00B27BFC"/>
    <w:rsid w:val="00F5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796CA"/>
  <w15:chartTrackingRefBased/>
  <w15:docId w15:val="{AB8F6F78-766D-4920-A396-8027FE2C1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450" w:after="150"/>
      <w:outlineLvl w:val="1"/>
    </w:pPr>
    <w:rPr>
      <w:b/>
      <w:bCs/>
      <w:sz w:val="23"/>
      <w:szCs w:val="23"/>
    </w:rPr>
  </w:style>
  <w:style w:type="paragraph" w:styleId="3">
    <w:name w:val="heading 3"/>
    <w:basedOn w:val="a"/>
    <w:link w:val="3Char"/>
    <w:uiPriority w:val="9"/>
    <w:qFormat/>
    <w:pPr>
      <w:spacing w:before="165" w:after="75"/>
      <w:outlineLvl w:val="2"/>
    </w:pPr>
    <w:rPr>
      <w:b/>
      <w:bCs/>
      <w:sz w:val="20"/>
      <w:szCs w:val="20"/>
    </w:rPr>
  </w:style>
  <w:style w:type="paragraph" w:styleId="4">
    <w:name w:val="heading 4"/>
    <w:basedOn w:val="a"/>
    <w:link w:val="4Char"/>
    <w:uiPriority w:val="9"/>
    <w:qFormat/>
    <w:pPr>
      <w:spacing w:before="210" w:after="75"/>
      <w:outlineLvl w:val="3"/>
    </w:pPr>
    <w:rPr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age">
    <w:name w:val="page"/>
    <w:basedOn w:val="a"/>
    <w:pPr>
      <w:shd w:val="clear" w:color="auto" w:fill="FFFFFF"/>
    </w:pPr>
  </w:style>
  <w:style w:type="paragraph" w:customStyle="1" w:styleId="toolbar">
    <w:name w:val="toolbar"/>
    <w:basedOn w:val="a"/>
    <w:pPr>
      <w:jc w:val="right"/>
    </w:pPr>
    <w:rPr>
      <w:vanish/>
    </w:rPr>
  </w:style>
  <w:style w:type="paragraph" w:customStyle="1" w:styleId="btn">
    <w:name w:val="btn"/>
    <w:basedOn w:val="a"/>
    <w:pPr>
      <w:pBdr>
        <w:top w:val="single" w:sz="6" w:space="4" w:color="999999"/>
        <w:left w:val="single" w:sz="6" w:space="11" w:color="999999"/>
        <w:bottom w:val="single" w:sz="6" w:space="4" w:color="999999"/>
        <w:right w:val="single" w:sz="6" w:space="11" w:color="999999"/>
      </w:pBdr>
      <w:shd w:val="clear" w:color="auto" w:fill="FFFFFF"/>
      <w:spacing w:before="100" w:beforeAutospacing="1" w:after="100" w:afterAutospacing="1"/>
    </w:pPr>
    <w:rPr>
      <w:color w:val="333333"/>
      <w:sz w:val="18"/>
      <w:szCs w:val="18"/>
    </w:rPr>
  </w:style>
  <w:style w:type="paragraph" w:customStyle="1" w:styleId="doc-head">
    <w:name w:val="doc-head"/>
    <w:basedOn w:val="a"/>
    <w:pPr>
      <w:spacing w:before="100" w:beforeAutospacing="1" w:after="270"/>
      <w:jc w:val="center"/>
    </w:pPr>
  </w:style>
  <w:style w:type="paragraph" w:customStyle="1" w:styleId="bt">
    <w:name w:val="bt"/>
    <w:basedOn w:val="a"/>
    <w:pPr>
      <w:spacing w:before="75" w:after="45"/>
    </w:pPr>
    <w:rPr>
      <w:sz w:val="19"/>
      <w:szCs w:val="19"/>
    </w:rPr>
  </w:style>
  <w:style w:type="paragraph" w:customStyle="1" w:styleId="law-box">
    <w:name w:val="law-box"/>
    <w:basedOn w:val="a"/>
    <w:pPr>
      <w:shd w:val="clear" w:color="auto" w:fill="FBFBFB"/>
      <w:spacing w:before="120" w:after="60"/>
    </w:pPr>
  </w:style>
  <w:style w:type="paragraph" w:customStyle="1" w:styleId="note">
    <w:name w:val="note"/>
    <w:basedOn w:val="a"/>
    <w:pPr>
      <w:spacing w:before="105"/>
      <w:ind w:hanging="225"/>
    </w:pPr>
    <w:rPr>
      <w:b/>
      <w:bCs/>
      <w:sz w:val="19"/>
      <w:szCs w:val="19"/>
    </w:rPr>
  </w:style>
  <w:style w:type="paragraph" w:customStyle="1" w:styleId="src">
    <w:name w:val="src"/>
    <w:basedOn w:val="a"/>
    <w:pPr>
      <w:spacing w:before="90"/>
    </w:pPr>
    <w:rPr>
      <w:sz w:val="17"/>
      <w:szCs w:val="17"/>
    </w:rPr>
  </w:style>
  <w:style w:type="paragraph" w:customStyle="1" w:styleId="mark">
    <w:name w:val="mark"/>
    <w:basedOn w:val="a"/>
    <w:pPr>
      <w:spacing w:before="90"/>
      <w:jc w:val="right"/>
    </w:pPr>
    <w:rPr>
      <w:b/>
      <w:bCs/>
      <w:color w:val="9A9A9A"/>
      <w:spacing w:val="3"/>
      <w:sz w:val="17"/>
      <w:szCs w:val="17"/>
    </w:rPr>
  </w:style>
  <w:style w:type="paragraph" w:customStyle="1" w:styleId="runfoot">
    <w:name w:val="runfoot"/>
    <w:basedOn w:val="a"/>
    <w:pPr>
      <w:spacing w:before="240" w:after="100" w:afterAutospacing="1"/>
    </w:pPr>
    <w:rPr>
      <w:b/>
      <w:bCs/>
      <w:color w:val="666666"/>
      <w:sz w:val="17"/>
      <w:szCs w:val="17"/>
    </w:rPr>
  </w:style>
  <w:style w:type="paragraph" w:customStyle="1" w:styleId="sm">
    <w:name w:val="sm"/>
    <w:basedOn w:val="a"/>
    <w:pPr>
      <w:spacing w:before="100" w:beforeAutospacing="1" w:after="100" w:afterAutospacing="1"/>
    </w:pPr>
  </w:style>
  <w:style w:type="paragraph" w:customStyle="1" w:styleId="law">
    <w:name w:val="law"/>
    <w:basedOn w:val="a"/>
    <w:pPr>
      <w:spacing w:before="100" w:beforeAutospacing="1" w:after="100" w:afterAutospacing="1"/>
    </w:pPr>
  </w:style>
  <w:style w:type="paragraph" w:customStyle="1" w:styleId="rule">
    <w:name w:val="rule"/>
    <w:basedOn w:val="a"/>
    <w:pPr>
      <w:spacing w:before="100" w:beforeAutospacing="1" w:after="100" w:afterAutospacing="1"/>
    </w:pPr>
  </w:style>
  <w:style w:type="paragraph" w:customStyle="1" w:styleId="sep">
    <w:name w:val="sep"/>
    <w:basedOn w:val="a"/>
    <w:pPr>
      <w:spacing w:before="100" w:beforeAutospacing="1" w:after="100" w:afterAutospacing="1"/>
    </w:pPr>
  </w:style>
  <w:style w:type="paragraph" w:customStyle="1" w:styleId="grp">
    <w:name w:val="grp"/>
    <w:basedOn w:val="a"/>
    <w:pPr>
      <w:spacing w:before="100" w:beforeAutospacing="1" w:after="100" w:afterAutospacing="1"/>
    </w:pPr>
  </w:style>
  <w:style w:type="paragraph" w:customStyle="1" w:styleId="v">
    <w:name w:val="v"/>
    <w:basedOn w:val="a"/>
    <w:pPr>
      <w:spacing w:before="100" w:beforeAutospacing="1" w:after="100" w:afterAutospacing="1"/>
    </w:pPr>
  </w:style>
  <w:style w:type="paragraph" w:customStyle="1" w:styleId="ctr">
    <w:name w:val="ctr"/>
    <w:basedOn w:val="a"/>
    <w:pPr>
      <w:spacing w:before="100" w:beforeAutospacing="1" w:after="100" w:afterAutospacing="1"/>
    </w:pPr>
  </w:style>
  <w:style w:type="paragraph" w:customStyle="1" w:styleId="key">
    <w:name w:val="key"/>
    <w:basedOn w:val="a"/>
    <w:pPr>
      <w:spacing w:before="100" w:beforeAutospacing="1" w:after="100" w:afterAutospacing="1"/>
    </w:pPr>
  </w:style>
  <w:style w:type="paragraph" w:customStyle="1" w:styleId="lw">
    <w:name w:val="lw"/>
    <w:basedOn w:val="a"/>
    <w:pPr>
      <w:spacing w:before="100" w:beforeAutospacing="1" w:after="100" w:afterAutospacing="1"/>
    </w:pPr>
  </w:style>
  <w:style w:type="paragraph" w:customStyle="1" w:styleId="na">
    <w:name w:val="na"/>
    <w:basedOn w:val="a"/>
    <w:pPr>
      <w:spacing w:before="100" w:beforeAutospacing="1" w:after="100" w:afterAutospacing="1"/>
    </w:pPr>
  </w:style>
  <w:style w:type="paragraph" w:customStyle="1" w:styleId="cite">
    <w:name w:val="cite"/>
    <w:basedOn w:val="a"/>
    <w:pPr>
      <w:spacing w:before="100" w:beforeAutospacing="1" w:after="100" w:afterAutospacing="1"/>
    </w:pPr>
  </w:style>
  <w:style w:type="paragraph" w:customStyle="1" w:styleId="body">
    <w:name w:val="body"/>
    <w:basedOn w:val="a"/>
    <w:pPr>
      <w:spacing w:before="100" w:beforeAutospacing="1" w:after="100" w:afterAutospacing="1"/>
    </w:pPr>
  </w:style>
  <w:style w:type="paragraph" w:customStyle="1" w:styleId="u">
    <w:name w:val="u"/>
    <w:basedOn w:val="a"/>
    <w:pPr>
      <w:spacing w:before="100" w:beforeAutospacing="1" w:after="100" w:afterAutospacing="1"/>
    </w:pPr>
  </w:style>
  <w:style w:type="paragraph" w:customStyle="1" w:styleId="brand">
    <w:name w:val="brand"/>
    <w:basedOn w:val="a"/>
    <w:pPr>
      <w:spacing w:before="100" w:beforeAutospacing="1" w:after="100" w:afterAutospacing="1"/>
    </w:pPr>
  </w:style>
  <w:style w:type="paragraph" w:customStyle="1" w:styleId="url">
    <w:name w:val="url"/>
    <w:basedOn w:val="a"/>
    <w:pPr>
      <w:spacing w:before="100" w:beforeAutospacing="1" w:after="100" w:afterAutospacing="1"/>
    </w:pPr>
  </w:style>
  <w:style w:type="paragraph" w:customStyle="1" w:styleId="ho">
    <w:name w:val="ho"/>
    <w:basedOn w:val="a"/>
    <w:pPr>
      <w:spacing w:before="100" w:beforeAutospacing="1" w:after="100" w:afterAutospacing="1"/>
    </w:pPr>
  </w:style>
  <w:style w:type="paragraph" w:customStyle="1" w:styleId="mok">
    <w:name w:val="mok"/>
    <w:basedOn w:val="a"/>
    <w:pPr>
      <w:spacing w:before="100" w:beforeAutospacing="1" w:after="100" w:afterAutospacing="1"/>
    </w:pPr>
  </w:style>
  <w:style w:type="paragraph" w:customStyle="1" w:styleId="amend">
    <w:name w:val="amend"/>
    <w:basedOn w:val="a"/>
    <w:pPr>
      <w:spacing w:before="100" w:beforeAutospacing="1" w:after="100" w:afterAutospacing="1"/>
    </w:pPr>
  </w:style>
  <w:style w:type="paragraph" w:customStyle="1" w:styleId="bigo-t">
    <w:name w:val="bigo-t"/>
    <w:basedOn w:val="a"/>
    <w:pPr>
      <w:spacing w:before="100" w:beforeAutospacing="1" w:after="100" w:afterAutospacing="1"/>
    </w:pPr>
  </w:style>
  <w:style w:type="paragraph" w:customStyle="1" w:styleId="eq">
    <w:name w:val="eq"/>
    <w:basedOn w:val="a"/>
    <w:pPr>
      <w:spacing w:before="100" w:beforeAutospacing="1" w:after="100" w:afterAutospacing="1"/>
    </w:pPr>
  </w:style>
  <w:style w:type="paragraph" w:customStyle="1" w:styleId="law1">
    <w:name w:val="law1"/>
    <w:basedOn w:val="a"/>
    <w:pPr>
      <w:spacing w:after="180"/>
    </w:pPr>
    <w:rPr>
      <w:sz w:val="19"/>
      <w:szCs w:val="19"/>
    </w:rPr>
  </w:style>
  <w:style w:type="paragraph" w:customStyle="1" w:styleId="rule1">
    <w:name w:val="rule1"/>
    <w:basedOn w:val="a"/>
  </w:style>
  <w:style w:type="paragraph" w:customStyle="1" w:styleId="sm1">
    <w:name w:val="sm1"/>
    <w:basedOn w:val="a"/>
    <w:pPr>
      <w:spacing w:before="100" w:beforeAutospacing="1" w:after="100" w:afterAutospacing="1"/>
      <w:ind w:left="90"/>
    </w:pPr>
    <w:rPr>
      <w:sz w:val="17"/>
      <w:szCs w:val="17"/>
    </w:rPr>
  </w:style>
  <w:style w:type="paragraph" w:customStyle="1" w:styleId="sep1">
    <w:name w:val="sep1"/>
    <w:basedOn w:val="a"/>
    <w:pPr>
      <w:pBdr>
        <w:left w:val="single" w:sz="6" w:space="0" w:color="E0E0E0"/>
      </w:pBdr>
      <w:spacing w:before="100" w:beforeAutospacing="1" w:after="100" w:afterAutospacing="1"/>
    </w:pPr>
  </w:style>
  <w:style w:type="paragraph" w:customStyle="1" w:styleId="grp1">
    <w:name w:val="grp1"/>
    <w:basedOn w:val="a"/>
    <w:pPr>
      <w:shd w:val="clear" w:color="auto" w:fill="F5F5F5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v1">
    <w:name w:val="v1"/>
    <w:basedOn w:val="a"/>
    <w:pPr>
      <w:spacing w:before="100" w:beforeAutospacing="1" w:after="100" w:afterAutospacing="1"/>
      <w:textAlignment w:val="center"/>
    </w:pPr>
  </w:style>
  <w:style w:type="paragraph" w:customStyle="1" w:styleId="ctr1">
    <w:name w:val="ctr1"/>
    <w:basedOn w:val="a"/>
    <w:pPr>
      <w:spacing w:before="100" w:beforeAutospacing="1" w:after="100" w:afterAutospacing="1"/>
      <w:jc w:val="center"/>
    </w:pPr>
  </w:style>
  <w:style w:type="paragraph" w:customStyle="1" w:styleId="key1">
    <w:name w:val="key1"/>
    <w:basedOn w:val="a"/>
    <w:pPr>
      <w:spacing w:before="100" w:beforeAutospacing="1" w:after="100" w:afterAutospacing="1"/>
    </w:pPr>
    <w:rPr>
      <w:b/>
      <w:bCs/>
    </w:rPr>
  </w:style>
  <w:style w:type="paragraph" w:customStyle="1" w:styleId="lw1">
    <w:name w:val="lw1"/>
    <w:basedOn w:val="a"/>
    <w:pPr>
      <w:spacing w:before="100" w:beforeAutospacing="1" w:after="100" w:afterAutospacing="1"/>
      <w:ind w:left="60"/>
    </w:pPr>
    <w:rPr>
      <w:sz w:val="17"/>
      <w:szCs w:val="17"/>
    </w:rPr>
  </w:style>
  <w:style w:type="paragraph" w:customStyle="1" w:styleId="na1">
    <w:name w:val="na1"/>
    <w:basedOn w:val="a"/>
    <w:pPr>
      <w:spacing w:before="100" w:beforeAutospacing="1" w:after="100" w:afterAutospacing="1"/>
    </w:pPr>
    <w:rPr>
      <w:color w:val="8A8A8A"/>
    </w:rPr>
  </w:style>
  <w:style w:type="paragraph" w:customStyle="1" w:styleId="cite1">
    <w:name w:val="cite1"/>
    <w:basedOn w:val="a"/>
    <w:pPr>
      <w:spacing w:after="90"/>
    </w:pPr>
    <w:rPr>
      <w:b/>
      <w:bCs/>
      <w:sz w:val="17"/>
      <w:szCs w:val="17"/>
    </w:rPr>
  </w:style>
  <w:style w:type="paragraph" w:customStyle="1" w:styleId="body1">
    <w:name w:val="body1"/>
    <w:basedOn w:val="a"/>
    <w:pPr>
      <w:spacing w:before="100" w:beforeAutospacing="1" w:after="100" w:afterAutospacing="1"/>
    </w:pPr>
    <w:rPr>
      <w:color w:val="000000"/>
      <w:sz w:val="19"/>
      <w:szCs w:val="19"/>
    </w:rPr>
  </w:style>
  <w:style w:type="paragraph" w:customStyle="1" w:styleId="ho1">
    <w:name w:val="ho1"/>
    <w:basedOn w:val="a"/>
    <w:pPr>
      <w:spacing w:after="75"/>
    </w:pPr>
  </w:style>
  <w:style w:type="paragraph" w:customStyle="1" w:styleId="mok1">
    <w:name w:val="mok1"/>
    <w:basedOn w:val="a"/>
    <w:pPr>
      <w:spacing w:after="75"/>
    </w:pPr>
  </w:style>
  <w:style w:type="paragraph" w:customStyle="1" w:styleId="amend1">
    <w:name w:val="amend1"/>
    <w:basedOn w:val="a"/>
    <w:pPr>
      <w:spacing w:after="75"/>
    </w:pPr>
    <w:rPr>
      <w:sz w:val="16"/>
      <w:szCs w:val="16"/>
    </w:rPr>
  </w:style>
  <w:style w:type="paragraph" w:customStyle="1" w:styleId="bigo-t1">
    <w:name w:val="bigo-t1"/>
    <w:basedOn w:val="a"/>
    <w:pPr>
      <w:spacing w:before="120" w:after="45"/>
    </w:pPr>
    <w:rPr>
      <w:rFonts w:ascii="맑은 고딕" w:eastAsia="맑은 고딕" w:hAnsi="맑은 고딕"/>
      <w:b/>
      <w:bCs/>
      <w:sz w:val="17"/>
      <w:szCs w:val="17"/>
    </w:rPr>
  </w:style>
  <w:style w:type="paragraph" w:customStyle="1" w:styleId="eq1">
    <w:name w:val="eq1"/>
    <w:basedOn w:val="a"/>
    <w:pPr>
      <w:spacing w:before="75" w:after="75"/>
    </w:pPr>
  </w:style>
  <w:style w:type="paragraph" w:customStyle="1" w:styleId="u1">
    <w:name w:val="u1"/>
    <w:basedOn w:val="a"/>
    <w:pPr>
      <w:spacing w:before="100" w:beforeAutospacing="1" w:after="100" w:afterAutospacing="1"/>
      <w:ind w:left="60"/>
    </w:pPr>
    <w:rPr>
      <w:b/>
      <w:bCs/>
      <w:color w:val="B0B0B0"/>
    </w:rPr>
  </w:style>
  <w:style w:type="paragraph" w:customStyle="1" w:styleId="brand1">
    <w:name w:val="brand1"/>
    <w:basedOn w:val="a"/>
    <w:pPr>
      <w:spacing w:before="100" w:beforeAutospacing="1" w:after="100" w:afterAutospacing="1"/>
    </w:pPr>
    <w:rPr>
      <w:b/>
      <w:bCs/>
      <w:color w:val="555555"/>
    </w:rPr>
  </w:style>
  <w:style w:type="paragraph" w:customStyle="1" w:styleId="url1">
    <w:name w:val="url1"/>
    <w:basedOn w:val="a"/>
    <w:pPr>
      <w:spacing w:before="100" w:beforeAutospacing="1" w:after="100" w:afterAutospacing="1"/>
    </w:pPr>
    <w:rPr>
      <w:color w:val="777777"/>
    </w:rPr>
  </w:style>
  <w:style w:type="character" w:customStyle="1" w:styleId="amend2">
    <w:name w:val="amend2"/>
    <w:basedOn w:val="a0"/>
    <w:rPr>
      <w:sz w:val="16"/>
      <w:szCs w:val="16"/>
    </w:rPr>
  </w:style>
  <w:style w:type="paragraph" w:styleId="a4">
    <w:name w:val="header"/>
    <w:basedOn w:val="a"/>
    <w:link w:val="Char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52617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52617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57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9238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096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86821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4645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0951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496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242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7327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3963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7672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01840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610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91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1344</Words>
  <Characters>7661</Characters>
  <Application>Microsoft Office Word</Application>
  <DocSecurity>4</DocSecurity>
  <Lines>63</Lines>
  <Paragraphs>17</Paragraphs>
  <ScaleCrop>false</ScaleCrop>
  <Company/>
  <LinksUpToDate>false</LinksUpToDate>
  <CharactersWithSpaces>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환경기술인 보유 자격기준 및 법적 근거</dc:title>
  <dc:subject/>
  <dc:creator>GWANGSIK JO</dc:creator>
  <cp:keywords/>
  <dc:description/>
  <cp:lastModifiedBy>GWANGSIK JO</cp:lastModifiedBy>
  <cp:revision>2</cp:revision>
  <dcterms:created xsi:type="dcterms:W3CDTF">2026-07-31T02:26:00Z</dcterms:created>
  <dcterms:modified xsi:type="dcterms:W3CDTF">2026-07-31T02:26:00Z</dcterms:modified>
</cp:coreProperties>
</file>