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시료의 동일성이 담보되지 않으면 수질검사 결과를 믿을 수 없습니다</w:t>
      </w:r>
    </w:p>
    <w:p>
      <w:pPr>
        <w:autoSpaceDN w:val="0"/>
        <w:autoSpaceDE w:val="0"/>
        <w:pStyle w:val="law1"/>
        <w:spacing w:after="160"/>
      </w:pPr>
      <w:r>
        <w:rPr>
          <w:rFonts w:ascii="맑은 고딕" w:hAnsi="맑은 고딕" w:eastAsia="맑은 고딕" w:cs="맑은 고딕"/>
          <w:color w:val="000000"/>
        </w:rPr>
        <w:t>대법원 2009도14772 (2010.03.25 선고)</w:t>
      </w:r>
    </w:p>
    <w:p>
      <w:pPr>
        <w:autoSpaceDN w:val="0"/>
        <w:autoSpaceDE w:val="0"/>
        <w:spacing w:after="120"/>
      </w:pPr>
      <w:r>
        <w:rPr>
          <w:rFonts w:ascii="맑은 고딕" w:hAnsi="맑은 고딕" w:eastAsia="맑은 고딕" w:cs="맑은 고딕"/>
          <w:color w:val="000000"/>
        </w:rPr>
        <w:t>○ 폐수를 무단 방류하여 배출허용기준을 초과했다는 공소사실에서 ‘폐수 수질검사 결과 회신’의 증명력이 문제된 사건입니다. 대법원은 과학적 증거방법이 구속력을 가지려면 시료의 채취·보관·분석 모든 과정에서 동일성이 인정되고 인수·인계 기록이 유지되어야 한다고 보아, 이를 유죄의 증거로 삼기 부족하다고 한 원심을 수긍하였습니다.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공인기관의 수질검사 결과면 그대로 믿어야 하나요?</w:t>
            </w:r>
          </w:p>
          <w:p>
            <w:pPr>
              <w:autoSpaceDN w:val="0"/>
              <w:autoSpaceDE w:val="0"/>
            </w:pPr>
            <w:r>
              <w:rPr>
                <w:rFonts w:ascii="맑은 고딕" w:hAnsi="맑은 고딕" w:eastAsia="맑은 고딕" w:cs="맑은 고딕"/>
                <w:color w:val="000000"/>
                <w:sz w:val="19"/>
              </w:rPr>
              <w:t>A. 전문지식과 경험을 지닌 감정인이 표준적 분석기법으로 적정한 절차를 통해 수행했다면 상당한 구속력을 갖지만, 그것만으로는 부족합니다.</w:t>
            </w:r>
          </w:p>
          <w:p>
            <w:pPr>
              <w:autoSpaceDN w:val="0"/>
              <w:autoSpaceDE w:val="0"/>
            </w:pPr>
          </w:p>
          <w:p>
            <w:pPr>
              <w:autoSpaceDN w:val="0"/>
              <w:autoSpaceDE w:val="0"/>
            </w:pPr>
            <w:r>
              <w:rPr>
                <w:rFonts w:ascii="맑은 고딕" w:hAnsi="맑은 고딕" w:eastAsia="맑은 고딕" w:cs="맑은 고딕"/>
                <w:b/>
                <w:color w:val="000000"/>
                <w:sz w:val="19"/>
              </w:rPr>
              <w:t>Q. 무엇이 더 필요한가요?</w:t>
            </w:r>
          </w:p>
          <w:p>
            <w:pPr>
              <w:autoSpaceDN w:val="0"/>
              <w:autoSpaceDE w:val="0"/>
            </w:pPr>
            <w:r>
              <w:rPr>
                <w:rFonts w:ascii="맑은 고딕" w:hAnsi="맑은 고딕" w:eastAsia="맑은 고딕" w:cs="맑은 고딕"/>
                <w:color w:val="000000"/>
                <w:sz w:val="19"/>
              </w:rPr>
              <w:t>A. 시료의 채취·보관·분석 등 모든 과정에서 시료의 동일성이 인정되고 인위적인 조작·훼손·첨가가 없었음이 담보되어야 하며, 각 단계에서 시료에 대한 정확한 인수·인계 절차를 확인할 수 있는 기록이 유지되어야 합니다.</w:t>
            </w:r>
          </w:p>
          <w:p>
            <w:pPr>
              <w:autoSpaceDN w:val="0"/>
              <w:autoSpaceDE w:val="0"/>
            </w:pPr>
          </w:p>
          <w:p>
            <w:pPr>
              <w:autoSpaceDN w:val="0"/>
              <w:autoSpaceDE w:val="0"/>
            </w:pPr>
            <w:r>
              <w:rPr>
                <w:rFonts w:ascii="맑은 고딕" w:hAnsi="맑은 고딕" w:eastAsia="맑은 고딕" w:cs="맑은 고딕"/>
                <w:b/>
                <w:color w:val="000000"/>
                <w:sz w:val="19"/>
              </w:rPr>
              <w:t>Q. 실무에서는 무엇을 확인해야 하나요?</w:t>
            </w:r>
          </w:p>
          <w:p>
            <w:pPr>
              <w:autoSpaceDN w:val="0"/>
              <w:autoSpaceDE w:val="0"/>
            </w:pPr>
            <w:r>
              <w:rPr>
                <w:rFonts w:ascii="맑은 고딕" w:hAnsi="맑은 고딕" w:eastAsia="맑은 고딕" w:cs="맑은 고딕"/>
                <w:color w:val="000000"/>
                <w:sz w:val="19"/>
              </w:rPr>
              <w:t>A. 시료번호와 채취시각의 일치, 원폐수 시료의 보관·폐기 경위, 채취지점 사이의 성분 정합성 등 기록의 앞뒤가 맞는지 확인하는 것이 중요합니다.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2009도14772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2010.03.25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사업자 · 상고인 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울산지법 2009노225 (2009. 12. 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검사는 피고인이 수질오염 방지시설을 가동하지 아니한 채 폐수를 무단 방류함으로써 배출허용기준을 초과하여 특정수질유해물질을 배출하였다는 공소사실로 기소하였다.</w:t>
      </w:r>
      <w:r>
        <w:rPr>
          <w:rFonts w:ascii="맑은 고딕" w:hAnsi="맑은 고딕" w:eastAsia="맑은 고딕" w:cs="맑은 고딕"/>
          <w:color w:val="000000"/>
        </w:rPr>
        <w:br/>
      </w:r>
      <w:r>
        <w:rPr>
          <w:rFonts w:ascii="맑은 고딕" w:hAnsi="맑은 고딕" w:eastAsia="맑은 고딕" w:cs="맑은 고딕"/>
          <w:color w:val="000000"/>
        </w:rPr>
        <w:t>② 그 증거로 제출된 보건환경연구원의 ‘폐수 수질검사 결과 회신’에는 92번 시료에서 배출허용기준치보다 높은 10.8의 수소이온농도와 74.79㎎/ℓ의 시안이 검출된 것으로 기재되어 있었다.</w:t>
      </w:r>
      <w:r>
        <w:rPr>
          <w:rFonts w:ascii="맑은 고딕" w:hAnsi="맑은 고딕" w:eastAsia="맑은 고딕" w:cs="맑은 고딕"/>
          <w:color w:val="000000"/>
        </w:rPr>
        <w:br/>
      </w:r>
      <w:r>
        <w:rPr>
          <w:rFonts w:ascii="맑은 고딕" w:hAnsi="맑은 고딕" w:eastAsia="맑은 고딕" w:cs="맑은 고딕"/>
          <w:color w:val="000000"/>
        </w:rPr>
        <w:t>③ 그런데 단속기관은 폐수처리 전의 원폐수인 C 시료를 참고용으로 채취하였으나 성분검사를 의뢰하지 않고 폐기하였다고 하면서, 누가·언제·어떤 절차로 폐기하였는지는 밝히지 못하였다.</w:t>
      </w:r>
      <w:r>
        <w:rPr>
          <w:rFonts w:ascii="맑은 고딕" w:hAnsi="맑은 고딕" w:eastAsia="맑은 고딕" w:cs="맑은 고딕"/>
          <w:color w:val="000000"/>
        </w:rPr>
        <w:br/>
      </w:r>
      <w:r>
        <w:rPr>
          <w:rFonts w:ascii="맑은 고딕" w:hAnsi="맑은 고딕" w:eastAsia="맑은 고딕" w:cs="맑은 고딕"/>
          <w:color w:val="000000"/>
        </w:rPr>
        <w:t>④ 최종방류구에서 20보 떨어진 지점에서 채취한 A 시료와 B 시료는 성분이 유사하여야 함에도, 단속기관이 A·B 시료라고 주장하는 91번·92번 시료는 시안 함량이 180배나 차이가 났다.</w:t>
      </w:r>
      <w:r>
        <w:rPr>
          <w:rFonts w:ascii="맑은 고딕" w:hAnsi="맑은 고딕" w:eastAsia="맑은 고딕" w:cs="맑은 고딕"/>
          <w:color w:val="000000"/>
        </w:rPr>
        <w:br/>
      </w:r>
      <w:r>
        <w:rPr>
          <w:rFonts w:ascii="맑은 고딕" w:hAnsi="맑은 고딕" w:eastAsia="맑은 고딕" w:cs="맑은 고딕"/>
          <w:color w:val="000000"/>
        </w:rPr>
        <w:t>⑤ 또한 시료채취기록부에 기재된 91번·92번 시료의 채취시각이 담당자가 수첩에 기재한 B·C 시료의 채취시각과 일치하였다.</w:t>
      </w:r>
      <w:r>
        <w:rPr>
          <w:rFonts w:ascii="맑은 고딕" w:hAnsi="맑은 고딕" w:eastAsia="맑은 고딕" w:cs="맑은 고딕"/>
          <w:color w:val="000000"/>
        </w:rPr>
        <w:br/>
      </w:r>
      <w:r>
        <w:rPr>
          <w:rFonts w:ascii="맑은 고딕" w:hAnsi="맑은 고딕" w:eastAsia="맑은 고딕" w:cs="맑은 고딕"/>
          <w:color w:val="000000"/>
        </w:rPr>
        <w:t>⑥ 원심은 위 사정들을 종합하여 92번 시료는 최종방류수에서 채취한 B 시료가 아니라 처리 전 원폐수에서 채취한 C 시료로 봄이 상당하다고 보아, 위 회신을 유죄의 증거로 삼기 부족하다며 무죄를 선고하였다.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폐수 수질검사와 같은 과학적 증거방법이 사실인정에서 상당한 정도의 구속력을 갖기 위한 요건이 무엇인지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시료의 폐기 경위가 밝혀지지 않은 점, 인접 지점 시료 사이에 시안 함량이 180배나 차이 나는 점, 채취시각 기재가 어긋나는 점 등을 종합하여, ‘폐수 수질검사 결과 회신’을 유죄의 증거로 삼기에 부족하다고 보아 무죄를 선고한 제1심을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원심의 판단은 법리를 토대로 사실심 법관의 합리적인 자유심증에 따른 것으로 수긍이 되고, 거기에 법리오해 등의 위법이 없다.</w:t>
      </w:r>
      <w:r>
        <w:rPr>
          <w:rFonts w:ascii="맑은 고딕" w:hAnsi="맑은 고딕" w:eastAsia="맑은 고딕" w:cs="맑은 고딕"/>
          <w:color w:val="000000"/>
        </w:rPr>
        <w:br/>
      </w:r>
      <w:r>
        <w:rPr>
          <w:rFonts w:ascii="맑은 고딕" w:hAnsi="맑은 고딕" w:eastAsia="맑은 고딕" w:cs="맑은 고딕"/>
          <w:color w:val="000000"/>
        </w:rPr>
        <w:t>③ 폐수 수질검사와 같은 과학적 증거방법은 전문지식과 경험을 지닌 감정인이 시료에 대하여 일반적으로 확립된 표준적인 분석기법을 활용하여 분석을 실행하고, 그 분석이 적정한 절차를 통하여 수행되었음이 인정되는 이상 법관이 사실인정을 함에 있어 상당한 정도로 구속력을 가진다.</w:t>
      </w:r>
      <w:r>
        <w:rPr>
          <w:rFonts w:ascii="맑은 고딕" w:hAnsi="맑은 고딕" w:eastAsia="맑은 고딕" w:cs="맑은 고딕"/>
          <w:color w:val="000000"/>
        </w:rPr>
        <w:br/>
      </w:r>
      <w:r>
        <w:rPr>
          <w:rFonts w:ascii="맑은 고딕" w:hAnsi="맑은 고딕" w:eastAsia="맑은 고딕" w:cs="맑은 고딕"/>
          <w:color w:val="000000"/>
        </w:rPr>
        <w:t>④ 따라서 비록 사실의 인정이 사실심의 전권이라 하더라도 아무런 합리적 근거 없이 함부로 이를 배척하는 것은 자유심증주의의 한계를 벗어나는 것으로서 허용될 수 없다.</w:t>
      </w:r>
      <w:r>
        <w:rPr>
          <w:rFonts w:ascii="맑은 고딕" w:hAnsi="맑은 고딕" w:eastAsia="맑은 고딕" w:cs="맑은 고딕"/>
          <w:color w:val="000000"/>
        </w:rPr>
        <w:br/>
      </w:r>
      <w:r>
        <w:rPr>
          <w:rFonts w:ascii="맑은 고딕" w:hAnsi="맑은 고딕" w:eastAsia="맑은 고딕" w:cs="맑은 고딕"/>
          <w:color w:val="000000"/>
        </w:rPr>
        <w:t>⑤ 그러나 이러한 과학적 증거방법이 사실인정에 있어서 상당한 정도로 구속력을 갖기 위해서는, 감정인이 전문적인 지식·기술·경험을 가지고 공인된 표준 검사기법으로 분석을 거쳐 법원에 제출하였다는 것만으로는 부족하다.</w:t>
      </w:r>
      <w:r>
        <w:rPr>
          <w:rFonts w:ascii="맑은 고딕" w:hAnsi="맑은 고딕" w:eastAsia="맑은 고딕" w:cs="맑은 고딕"/>
          <w:color w:val="000000"/>
        </w:rPr>
        <w:br/>
      </w:r>
      <w:r>
        <w:rPr>
          <w:rFonts w:ascii="맑은 고딕" w:hAnsi="맑은 고딕" w:eastAsia="맑은 고딕" w:cs="맑은 고딕"/>
          <w:color w:val="000000"/>
        </w:rPr>
        <w:t>⑥ 나아가 시료의 채취·보관·분석 등 모든 과정에서 시료의 동일성이 인정되고 인위적인 조작·훼손·첨가가 없었음이 담보되어야 한다.</w:t>
      </w:r>
      <w:r>
        <w:rPr>
          <w:rFonts w:ascii="맑은 고딕" w:hAnsi="맑은 고딕" w:eastAsia="맑은 고딕" w:cs="맑은 고딕"/>
          <w:color w:val="000000"/>
        </w:rPr>
        <w:br/>
      </w:r>
      <w:r>
        <w:rPr>
          <w:rFonts w:ascii="맑은 고딕" w:hAnsi="맑은 고딕" w:eastAsia="맑은 고딕" w:cs="맑은 고딕"/>
          <w:color w:val="000000"/>
        </w:rPr>
        <w:t>⑦ 또한 각 단계에서 시료에 대한 정확한 인수·인계 절차를 확인할 수 있는 기록이 유지되어야 한다.</w:t>
      </w:r>
      <w:r>
        <w:rPr>
          <w:rFonts w:ascii="맑은 고딕" w:hAnsi="맑은 고딕" w:eastAsia="맑은 고딕" w:cs="맑은 고딕"/>
          <w:color w:val="000000"/>
        </w:rPr>
        <w:br/>
      </w:r>
      <w:r>
        <w:rPr>
          <w:rFonts w:ascii="맑은 고딕" w:hAnsi="맑은 고딕" w:eastAsia="맑은 고딕" w:cs="맑은 고딕"/>
          <w:color w:val="000000"/>
        </w:rPr>
        <w:t>⑧ 이 사건에서는 원폐수 시료의 폐기 경위가 밝혀지지 않고 인접 지점 시료 사이의 성분 차이와 채취시각 기재의 불일치가 확인되는 등 시료의 동일성이 담보되지 아니하였으므로, 위 회신을 유죄의 증거로 삼기 부족하다고 본 원심의 판단은 정당하다.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폐수 수질검사와 같은 과학적 증거방법이 사실인정에 있어서 상당한 정도로 구속력을 갖기 위해서는, 감정인이 전문적인 지식·기술·경험을 가지고 공인된 표준 검사기법으로 분석을 거쳐 법원에 제출하였다는 것만으로는 부족하고, 시료의 채취·보관·분석 등 모든 과정에서 시료의 동일성이 인정되고 인위적인 조작·훼손·첨가가 없었음이 담보되어야 하며 각 단계에서 시료에 대한 정확한 인수·인계 절차를 확인할 수 있는 기록이 유지되어야 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 제4호</w:t>
            </w:r>
          </w:p>
        </w:tc>
        <w:tc>
          <w:tcPr>
            <w:tcW w:type="pct" w:w="3500"/>
          </w:tcPr>
          <w:p>
            <w:pPr>
              <w:autoSpaceDN w:val="0"/>
              <w:autoSpaceDE w:val="0"/>
            </w:pPr>
            <w:r>
              <w:rPr>
                <w:rFonts w:ascii="맑은 고딕" w:hAnsi="맑은 고딕" w:eastAsia="맑은 고딕" w:cs="맑은 고딕"/>
                <w:color w:val="000000"/>
                <w:sz w:val="19"/>
              </w:rPr>
              <w:t>배출시설 및 방지시설을 정당한 사유 없이 정상적으로 가동하지 아니하여 배출허용기준을 초과한 수질오염물질을 배출하는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제76조</w:t>
            </w:r>
          </w:p>
        </w:tc>
        <w:tc>
          <w:tcPr>
            <w:tcW w:type="pct" w:w="3500"/>
          </w:tcPr>
          <w:p>
            <w:pPr>
              <w:autoSpaceDN w:val="0"/>
              <w:autoSpaceDE w:val="0"/>
            </w:pPr>
            <w:r>
              <w:rPr>
                <w:rFonts w:ascii="맑은 고딕" w:hAnsi="맑은 고딕" w:eastAsia="맑은 고딕" w:cs="맑은 고딕"/>
                <w:color w:val="000000"/>
                <w:sz w:val="19"/>
              </w:rPr>
              <w:t>제38조 제1항 각 호의 어느 하나에 해당하는 행위를 한 자를 처벌한다.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 [별표 13]</w:t>
            </w:r>
          </w:p>
        </w:tc>
        <w:tc>
          <w:tcPr>
            <w:tcW w:type="pct" w:w="3500"/>
          </w:tcPr>
          <w:p>
            <w:pPr>
              <w:autoSpaceDN w:val="0"/>
              <w:autoSpaceDE w:val="0"/>
            </w:pPr>
            <w:r>
              <w:rPr>
                <w:rFonts w:ascii="맑은 고딕" w:hAnsi="맑은 고딕" w:eastAsia="맑은 고딕" w:cs="맑은 고딕"/>
                <w:color w:val="000000"/>
                <w:sz w:val="19"/>
              </w:rPr>
              <w:t>수질오염물질의 배출허용기준을 지역구분과 항목별로 정하고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제308조</w:t>
            </w:r>
          </w:p>
        </w:tc>
        <w:tc>
          <w:tcPr>
            <w:tcW w:type="pct" w:w="3500"/>
          </w:tcPr>
          <w:p>
            <w:pPr>
              <w:autoSpaceDN w:val="0"/>
              <w:autoSpaceDE w:val="0"/>
            </w:pPr>
            <w:r>
              <w:rPr>
                <w:rFonts w:ascii="맑은 고딕" w:hAnsi="맑은 고딕" w:eastAsia="맑은 고딕" w:cs="맑은 고딕"/>
                <w:color w:val="000000"/>
                <w:sz w:val="19"/>
              </w:rPr>
              <w:t>증거의 증명력은 법관의 자유판단에 의한다.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https://www.law.go.kr/판례/(2009도14772)</w:t>
      </w:r>
    </w:p>
    <w:p>
      <w:pPr>
        <w:autoSpaceDN w:val="0"/>
        <w:autoSpaceDE w:val="0"/>
        <w:spacing w:before="80"/>
      </w:pPr>
      <w:r>
        <w:rPr>
          <w:rFonts w:ascii="맑은 고딕" w:hAnsi="맑은 고딕" w:eastAsia="맑은 고딕" w:cs="맑은 고딕"/>
          <w:color w:val="000000"/>
          <w:sz w:val="18"/>
        </w:rPr>
        <w:t>태그  #물환경보전법 #시료채취 #수질검사 #과학적증거 #동일성 #무단방류 #형사판례 #대법원판례 #2010년판례 #2009도14772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