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상수원 상류 산업단지에 특정수질유해물질 공장은 새로 못 들어갑니다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2018두34084 (2020.11.26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상수원보호구역 상류의 공장설립 제한지역에 있는 산업단지에서 사업인정을 받아 수용재결이 이루어지자 토지 소유자가 이를 다툰 사건입니다. 대법원은 수도법 시행령 부칙 경과규정이 기존 산업단지를 공장설립 제한·승인 규정의 적용에서 제외하되, 그 대신 폐수종말처리장 처리용량의 범위에서 ‘특정수질유해물질을 배출하는 공장과 유독물·취급제한금지물질 영업 공장을 뺀 공장’만 신설할 수 있게 한 근거 조항이라고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상수원 상류라도 산업단지 안이면 공장을 지을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기존 산업단지라면 경과규정에 따라 지을 수 있지만 무제한은 아닙니다. 해당 산업단지의 폐수종말처리장 처리용량 범위 안이어야 하고, 특정수질유해물질을 배출하는 공장과 유독물 영업등록·취급제한금지물질 영업허가를 받아야 하는 공장은 여전히 신설할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‘기존 산업단지’는 어떻게 판단하나요?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2010. 11. 26. 당시 이미 지정·개발되어 있던 산업단지, 또는 그 전에 산업단지개발계획 수립 용역이 발주되거나 승인신청서가 접수되는 등 지정·개발 절차에 착수하여 그 이후 지정·개발이 완료된 산업단지를 말합니다.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사업인정에 하자가 있으면 수용재결 단계에서 다툴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원칙적으로 다툴 수 없습니다. 사업인정처분 자체의 위법은 사업인정 단계에서 다투어야 하고, 쟁송기간이 지난 수용재결 단계에서는 사업인정이 당연무효라고 볼 특단의 사정이 없는 한 그 위법을 이유로 재결의 취소를 구할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2018두34084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2020.11.26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○○○ 주식회사 · 피고 충청남도지방토지수용위원회 (피고보조참가인 ○○○ 주식회사, 피고소송참가인 천안시장)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(수용재결취소)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대전고법 2017누12184 (2018. 1. 10.)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수도법 제7조의2 제1항은 상수원보호구역의 상류지역이나 취수시설의 상류·하류 일정지역에서는 공장을 설립할 수 없다고 규정하고, 시행령은 그 범위를 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2010. 11. 26. 개정 시행령 부칙 제5조는 개정 당시 제한지역에 이미 설립된 공장에 대해서만 부지면적 범위의 증설이나 폐수배출량이 늘지 않는 범위의 업종변경을 허용하였다.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그런데 위 부칙 제5조가 산업단지 안의 공장에도 적용되는지가 명확하지 않아, 제한지역에 있는 산업단지에서는 신규 공장 신설이 불가능하고 기존 공장의 증설·업종변경도 막히는 부작용이 생겼다.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이에 2014. 4. 15. 개정 시행령은 부칙 제5조가 기존 산업단지 밖의 공장에만 적용됨을 명확히 하는 한편, 별도로 부칙 제4조의2(경과규정)를 신설하였다.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 경과규정은 기존 산업단지 안에서는 해당 산업단지의 폐수종말처리장 처리용량의 범위에서 ‘특정수질유해물질을 배출하는 공장 및 유독물 영업등록이나 취급제한·금지물질 영업허가를 받아야 하는 공장 외의 공장’을 신설하는 행위를 허용하였다.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피고소송참가인은 이 경과규정을 근거로 사업시행자 지정 및 사업인정을 받았고, 이어 수용재결이 내려지자 원고가 수용재결의 취소를 구하는 소를 제기하였다.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수도법 시행령 부칙 경과규정이 공장설립 제한지역 안의 기존 산업단지에 관하여 어떤 의미를 갖는지와, 사업인정처분의 하자를 수용재결 단계에서 다툴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수도법 제7조의2 제1항은 상수원보호구역의 상류지역이나 취수시설의 상류·하류 일정지역에서는 공장을 설립할 수 없다고 정하고, 같은 조는 상수원에 미치는 영향 등을 고려하여 대통령령으로 정하는 지역에는 시장·군수·구청장이 공장 설립을 승인할 수 있도록 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이 사건 경과규정의 문언과 체계, 개정 연혁과 취지 등을 종합하면, 이 사건 경과규정은 별도로 정의한 ‘기존 산업단지’를 공장설립 제한규정 및 공장설립 승인규정의 적용대상에서 제외함과 동시에, 그 기존 산업단지에서는 폐수종말처리장 처리용량의 범위에서 일정한 공장의 신설을 허용하는 근거 조항이라고 해석된다.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그 ‘일정한 공장’이란 특정수질유해물질을 배출하는 공장과 유독물 영업등록 또는 취급제한·금지물질 영업허가를 받아야 하는 공장을 뺀 나머지 공장을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원심도 같은 취지에서 이 사건 경과규정을 공장설립 승인에 관한 근거 조항으로 보고, 사업부지가 경과규정이 정한 ‘기존 산업단지’에 해당하는지에 따라 사업시행자 지정 및 사업인정처분의 실체적 하자 유무를 판단하였는바, 여기에 법리를 오해한 잘못이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한편 사업인정처분 자체의 위법은 사업인정 단계에서 다투어야 하고 이미 쟁송기간이 지난 수용재결 단계에서는 사업인정처분이 당연무효라고 볼 만한 특단의 사정이 없는 한 그 위법을 이유로 재결의 취소를 구할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하자 있는 행정처분이 당연무효가 되려면 그 하자가 법규의 중요한 부분을 위반한 중대한 것으로서 객관적으로 명백하여야 하고, 어느 법률의 규정을 적용할 수 없다는 법리가 명백히 밝혀지지 않아 해석에 다툼의 여지가 있는 때에는 행정청이 이를 잘못 해석하였더라도 그 하자가 명백하다고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원심은 사업부지가 ‘기존 산업단지’에 해당하지 않아 사업시행자 지정 및 사업인정처분에 공장설립 제한규정을 위반한 하자가 있으나, 경과규정의 적용을 긍정하는 소관 중앙행정기관의 의견 등을 참고하여 처분이 이루어진 점 등에 비추어 그 하자가 당연무효라고 볼 정도로 명백하지는 않다고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대법원은 원심의 판단이 모두 정당하다고 보아 상고를 기각하였다.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상수원의 확보와 수질 보전을 위하여 필요하다고 인정되는 지역을 상수원보호구역으로 지정·공고할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제7조의2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상수원보호구역의 상류지역이나 취수시설의 상류·하류 일정지역으로서 대통령령으로 정하는 지역에서는 「산업집적활성화 및 공장설립에 관한 법률」 제2조제1호에 따른 공장을 설립할 수 없다.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제7조의2 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시장·군수·구청장은 공장설립이 제한되는 지역 중 상수원에 미치는 영향 등을 고려하여 대통령령으로 정하는 지역에는 기후에너지환경부령으로 정하는 공장의 설립을 승인할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수도법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제14조의2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공장설립이 제한되는 지역의 범위를 정하고 있다. 상수원보호구역이 지정·공고된 경우와, 지정·공고되지 않은 경우 취수시설로부터 상류로 유하거리 15km 이내·하류로 1km 이내인 지역 등이다.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“특정수질유해물질”이란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화학물질관리법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유해화학물질 영업을 하려는 자는 사업장별로 기후에너지환경부장관의 허가를 받아야 한다. (구 유해화학물질관리법 제20조 유독물 영업등록, 제34조 취급제한·금지물질 영업허가에 해당한다)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공익사업을 위한 토지 등의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취득 및 보상에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제20조·제34조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사업시행자는 공익사업의 수행을 위하여 사업인정을 받아야 하고, 토지수용위원회는 심리를 마쳤을 때 재결을 하여야 한다. 사업인정의 위법은 사업인정 단계에서 다투어야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https://www.law.go.kr/판례/(2018두34084)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#수도법 #상수원보호구역 #공장설립제한 #산업단지 #폐수종말처리장 #수용재결 #사업인정 #행정판례 #대법원판례 #2020년판례 #2018두34084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